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FF3DAB">
      <w:pPr>
        <w:pStyle w:val="10"/>
        <w:spacing w:before="113" w:line="360" w:lineRule="auto"/>
        <w:ind w:left="0" w:leftChars="-200" w:hanging="440" w:firstLineChars="0"/>
        <w:contextualSpacing/>
        <w:jc w:val="left"/>
        <w:rPr>
          <w:rFonts w:ascii="Arial" w:hAnsi="Arial" w:cs="Arial"/>
          <w:b/>
          <w:bCs/>
          <w:shd w:val="clear" w:color="auto" w:fill="FFFFFF"/>
          <w:lang w:val="pt-BR"/>
        </w:rPr>
      </w:pPr>
      <w:bookmarkStart w:id="0" w:name="_Hlk186723891"/>
      <w:bookmarkStart w:id="1" w:name="_Hlk184978040"/>
      <w:bookmarkStart w:id="2" w:name="_Hlk184978709"/>
      <w:bookmarkStart w:id="3" w:name="_Hlk184977119"/>
      <w:bookmarkStart w:id="4" w:name="_Hlk184978497"/>
      <w:bookmarkStart w:id="5" w:name="_Hlk168478269"/>
      <w:bookmarkStart w:id="6" w:name="_Hlk186723195"/>
      <w:bookmarkStart w:id="7" w:name="_Hlk184979019"/>
      <w:bookmarkStart w:id="8" w:name="_Hlk184977120"/>
      <w:bookmarkStart w:id="9" w:name="_Hlk181803704"/>
      <w:bookmarkStart w:id="10" w:name="_Hlk186723194"/>
      <w:bookmarkStart w:id="11" w:name="_Hlk184978710"/>
      <w:bookmarkStart w:id="12" w:name="_Hlk186723892"/>
      <w:bookmarkStart w:id="13" w:name="_Hlk184978041"/>
      <w:bookmarkStart w:id="14" w:name="_Hlk184979020"/>
      <w:bookmarkStart w:id="15" w:name="_Hlk184978498"/>
      <w:bookmarkStart w:id="16" w:name="_Hlk181803705"/>
      <w:bookmarkStart w:id="17" w:name="_Hlk168478270"/>
      <w:r>
        <w:drawing>
          <wp:inline distT="0" distB="0" distL="0" distR="0">
            <wp:extent cx="6010910" cy="1296035"/>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025877" cy="1299290"/>
                    </a:xfrm>
                    <a:prstGeom prst="rect">
                      <a:avLst/>
                    </a:prstGeom>
                    <a:noFill/>
                    <a:ln>
                      <a:noFill/>
                    </a:ln>
                  </pic:spPr>
                </pic:pic>
              </a:graphicData>
            </a:graphic>
          </wp:inline>
        </w:drawing>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ascii="Arial" w:hAnsi="Arial" w:cs="Arial"/>
          <w:b/>
          <w:bCs/>
          <w:lang w:val="pt-BR"/>
        </w:rPr>
        <mc:AlternateContent>
          <mc:Choice Requires="wpg">
            <w:drawing>
              <wp:anchor distT="0" distB="0" distL="114300" distR="114300" simplePos="0" relativeHeight="251659264" behindDoc="1" locked="0" layoutInCell="1" allowOverlap="1">
                <wp:simplePos x="0" y="0"/>
                <wp:positionH relativeFrom="page">
                  <wp:posOffset>2834005</wp:posOffset>
                </wp:positionH>
                <wp:positionV relativeFrom="page">
                  <wp:posOffset>-4796155</wp:posOffset>
                </wp:positionV>
                <wp:extent cx="5029200" cy="10677525"/>
                <wp:effectExtent l="0" t="4763" r="14288" b="0"/>
                <wp:wrapNone/>
                <wp:docPr id="3" name="Group 101"/>
                <wp:cNvGraphicFramePr/>
                <a:graphic xmlns:a="http://schemas.openxmlformats.org/drawingml/2006/main">
                  <a:graphicData uri="http://schemas.microsoft.com/office/word/2010/wordprocessingGroup">
                    <wpg:wgp>
                      <wpg:cNvGrpSpPr/>
                      <wpg:grpSpPr>
                        <a:xfrm rot="16200000" flipV="1">
                          <a:off x="0" y="0"/>
                          <a:ext cx="5029200" cy="10677525"/>
                          <a:chOff x="14066" y="0"/>
                          <a:chExt cx="5134" cy="10801"/>
                        </a:xfrm>
                      </wpg:grpSpPr>
                      <wps:wsp>
                        <wps:cNvPr id="4" name="Line 102"/>
                        <wps:cNvCnPr>
                          <a:cxnSpLocks noChangeShapeType="1"/>
                        </wps:cNvCnPr>
                        <wps:spPr bwMode="auto">
                          <a:xfrm>
                            <a:off x="14758" y="0"/>
                            <a:ext cx="1920" cy="10800"/>
                          </a:xfrm>
                          <a:prstGeom prst="line">
                            <a:avLst/>
                          </a:prstGeom>
                          <a:noFill/>
                          <a:ln w="9525">
                            <a:solidFill>
                              <a:srgbClr val="BEBEBE"/>
                            </a:solidFill>
                            <a:round/>
                          </a:ln>
                        </wps:spPr>
                        <wps:bodyPr/>
                      </wps:wsp>
                      <wps:wsp>
                        <wps:cNvPr id="5" name="Line 103"/>
                        <wps:cNvCnPr>
                          <a:cxnSpLocks noChangeShapeType="1"/>
                        </wps:cNvCnPr>
                        <wps:spPr bwMode="auto">
                          <a:xfrm>
                            <a:off x="19194" y="5798"/>
                            <a:ext cx="0" cy="5003"/>
                          </a:xfrm>
                          <a:prstGeom prst="line">
                            <a:avLst/>
                          </a:prstGeom>
                          <a:noFill/>
                          <a:ln w="9525">
                            <a:solidFill>
                              <a:srgbClr val="D9D9D9"/>
                            </a:solidFill>
                            <a:round/>
                          </a:ln>
                        </wps:spPr>
                        <wps:bodyPr/>
                      </wps:wsp>
                      <wps:wsp>
                        <wps:cNvPr id="7" name="Freeform 104"/>
                        <wps:cNvSpPr/>
                        <wps:spPr bwMode="auto">
                          <a:xfrm>
                            <a:off x="14460" y="0"/>
                            <a:ext cx="4736" cy="10800"/>
                          </a:xfrm>
                          <a:custGeom>
                            <a:avLst/>
                            <a:gdLst>
                              <a:gd name="T0" fmla="+- 0 19195 14460"/>
                              <a:gd name="T1" fmla="*/ T0 w 4736"/>
                              <a:gd name="T2" fmla="*/ 0 h 10800"/>
                              <a:gd name="T3" fmla="+- 0 17677 14460"/>
                              <a:gd name="T4" fmla="*/ T3 w 4736"/>
                              <a:gd name="T5" fmla="*/ 0 h 10800"/>
                              <a:gd name="T6" fmla="+- 0 14460 14460"/>
                              <a:gd name="T7" fmla="*/ T6 w 4736"/>
                              <a:gd name="T8" fmla="*/ 10800 h 10800"/>
                              <a:gd name="T9" fmla="+- 0 19195 14460"/>
                              <a:gd name="T10" fmla="*/ T9 w 4736"/>
                              <a:gd name="T11" fmla="*/ 10800 h 10800"/>
                              <a:gd name="T12" fmla="+- 0 19195 14460"/>
                              <a:gd name="T13" fmla="*/ T12 w 4736"/>
                              <a:gd name="T14" fmla="*/ 0 h 10800"/>
                            </a:gdLst>
                            <a:ahLst/>
                            <a:cxnLst>
                              <a:cxn ang="0">
                                <a:pos x="T1" y="T2"/>
                              </a:cxn>
                              <a:cxn ang="0">
                                <a:pos x="T4" y="T5"/>
                              </a:cxn>
                              <a:cxn ang="0">
                                <a:pos x="T7" y="T8"/>
                              </a:cxn>
                              <a:cxn ang="0">
                                <a:pos x="T10" y="T11"/>
                              </a:cxn>
                              <a:cxn ang="0">
                                <a:pos x="T13" y="T14"/>
                              </a:cxn>
                            </a:cxnLst>
                            <a:rect l="0" t="0" r="r" b="b"/>
                            <a:pathLst>
                              <a:path w="4736" h="10800">
                                <a:moveTo>
                                  <a:pt x="4735" y="0"/>
                                </a:moveTo>
                                <a:lnTo>
                                  <a:pt x="3217" y="0"/>
                                </a:lnTo>
                                <a:lnTo>
                                  <a:pt x="0" y="10800"/>
                                </a:lnTo>
                                <a:lnTo>
                                  <a:pt x="4735" y="10800"/>
                                </a:lnTo>
                                <a:lnTo>
                                  <a:pt x="4735" y="0"/>
                                </a:lnTo>
                                <a:close/>
                              </a:path>
                            </a:pathLst>
                          </a:custGeom>
                          <a:solidFill>
                            <a:srgbClr val="3493B9">
                              <a:alpha val="30196"/>
                            </a:srgbClr>
                          </a:solidFill>
                          <a:ln>
                            <a:noFill/>
                          </a:ln>
                        </wps:spPr>
                        <wps:bodyPr rot="0" vert="horz" wrap="square" lIns="91440" tIns="45720" rIns="91440" bIns="45720" anchor="t" anchorCtr="0" upright="1">
                          <a:noAutofit/>
                        </wps:bodyPr>
                      </wps:wsp>
                      <wps:wsp>
                        <wps:cNvPr id="8" name="Freeform 105"/>
                        <wps:cNvSpPr/>
                        <wps:spPr bwMode="auto">
                          <a:xfrm>
                            <a:off x="15124" y="0"/>
                            <a:ext cx="4076" cy="10800"/>
                          </a:xfrm>
                          <a:custGeom>
                            <a:avLst/>
                            <a:gdLst>
                              <a:gd name="T0" fmla="+- 0 19200 15125"/>
                              <a:gd name="T1" fmla="*/ T0 w 4076"/>
                              <a:gd name="T2" fmla="*/ 0 h 10800"/>
                              <a:gd name="T3" fmla="+- 0 15125 15125"/>
                              <a:gd name="T4" fmla="*/ T3 w 4076"/>
                              <a:gd name="T5" fmla="*/ 0 h 10800"/>
                              <a:gd name="T6" fmla="+- 0 17028 15125"/>
                              <a:gd name="T7" fmla="*/ T6 w 4076"/>
                              <a:gd name="T8" fmla="*/ 10800 h 10800"/>
                              <a:gd name="T9" fmla="+- 0 19200 15125"/>
                              <a:gd name="T10" fmla="*/ T9 w 4076"/>
                              <a:gd name="T11" fmla="*/ 10800 h 10800"/>
                              <a:gd name="T12" fmla="+- 0 19200 15125"/>
                              <a:gd name="T13" fmla="*/ T12 w 4076"/>
                              <a:gd name="T14" fmla="*/ 0 h 10800"/>
                            </a:gdLst>
                            <a:ahLst/>
                            <a:cxnLst>
                              <a:cxn ang="0">
                                <a:pos x="T1" y="T2"/>
                              </a:cxn>
                              <a:cxn ang="0">
                                <a:pos x="T4" y="T5"/>
                              </a:cxn>
                              <a:cxn ang="0">
                                <a:pos x="T7" y="T8"/>
                              </a:cxn>
                              <a:cxn ang="0">
                                <a:pos x="T10" y="T11"/>
                              </a:cxn>
                              <a:cxn ang="0">
                                <a:pos x="T13" y="T14"/>
                              </a:cxn>
                            </a:cxnLst>
                            <a:rect l="0" t="0" r="r" b="b"/>
                            <a:pathLst>
                              <a:path w="4076" h="10800">
                                <a:moveTo>
                                  <a:pt x="4075" y="0"/>
                                </a:moveTo>
                                <a:lnTo>
                                  <a:pt x="0" y="0"/>
                                </a:lnTo>
                                <a:lnTo>
                                  <a:pt x="1903" y="10800"/>
                                </a:lnTo>
                                <a:lnTo>
                                  <a:pt x="4075" y="10800"/>
                                </a:lnTo>
                                <a:lnTo>
                                  <a:pt x="4075" y="0"/>
                                </a:lnTo>
                                <a:close/>
                              </a:path>
                            </a:pathLst>
                          </a:custGeom>
                          <a:solidFill>
                            <a:srgbClr val="3493B9">
                              <a:alpha val="20000"/>
                            </a:srgbClr>
                          </a:solidFill>
                          <a:ln>
                            <a:noFill/>
                          </a:ln>
                        </wps:spPr>
                        <wps:bodyPr rot="0" vert="horz" wrap="square" lIns="91440" tIns="45720" rIns="91440" bIns="45720" anchor="t" anchorCtr="0" upright="1">
                          <a:noAutofit/>
                        </wps:bodyPr>
                      </wps:wsp>
                      <wps:wsp>
                        <wps:cNvPr id="9" name="Freeform 106"/>
                        <wps:cNvSpPr/>
                        <wps:spPr bwMode="auto">
                          <a:xfrm>
                            <a:off x="14066" y="4800"/>
                            <a:ext cx="5134" cy="6000"/>
                          </a:xfrm>
                          <a:custGeom>
                            <a:avLst/>
                            <a:gdLst>
                              <a:gd name="T0" fmla="+- 0 19200 14066"/>
                              <a:gd name="T1" fmla="*/ T0 w 5134"/>
                              <a:gd name="T2" fmla="+- 0 4800 4800"/>
                              <a:gd name="T3" fmla="*/ 4800 h 6000"/>
                              <a:gd name="T4" fmla="+- 0 14066 14066"/>
                              <a:gd name="T5" fmla="*/ T4 w 5134"/>
                              <a:gd name="T6" fmla="+- 0 10800 4800"/>
                              <a:gd name="T7" fmla="*/ 10800 h 6000"/>
                              <a:gd name="T8" fmla="+- 0 19200 14066"/>
                              <a:gd name="T9" fmla="*/ T8 w 5134"/>
                              <a:gd name="T10" fmla="+- 0 10800 4800"/>
                              <a:gd name="T11" fmla="*/ 10800 h 6000"/>
                              <a:gd name="T12" fmla="+- 0 19200 14066"/>
                              <a:gd name="T13" fmla="*/ T12 w 5134"/>
                              <a:gd name="T14" fmla="+- 0 4800 4800"/>
                              <a:gd name="T15" fmla="*/ 4800 h 6000"/>
                            </a:gdLst>
                            <a:ahLst/>
                            <a:cxnLst>
                              <a:cxn ang="0">
                                <a:pos x="T1" y="T3"/>
                              </a:cxn>
                              <a:cxn ang="0">
                                <a:pos x="T5" y="T7"/>
                              </a:cxn>
                              <a:cxn ang="0">
                                <a:pos x="T9" y="T11"/>
                              </a:cxn>
                              <a:cxn ang="0">
                                <a:pos x="T13" y="T15"/>
                              </a:cxn>
                            </a:cxnLst>
                            <a:rect l="0" t="0" r="r" b="b"/>
                            <a:pathLst>
                              <a:path w="5134" h="6000">
                                <a:moveTo>
                                  <a:pt x="5134" y="0"/>
                                </a:moveTo>
                                <a:lnTo>
                                  <a:pt x="0" y="6000"/>
                                </a:lnTo>
                                <a:lnTo>
                                  <a:pt x="5134" y="6000"/>
                                </a:lnTo>
                                <a:lnTo>
                                  <a:pt x="5134" y="0"/>
                                </a:lnTo>
                                <a:close/>
                              </a:path>
                            </a:pathLst>
                          </a:custGeom>
                          <a:solidFill>
                            <a:srgbClr val="57B6C0">
                              <a:alpha val="72156"/>
                            </a:srgbClr>
                          </a:solidFill>
                          <a:ln>
                            <a:noFill/>
                          </a:ln>
                        </wps:spPr>
                        <wps:bodyPr rot="0" vert="horz" wrap="square" lIns="91440" tIns="45720" rIns="91440" bIns="45720" anchor="t" anchorCtr="0" upright="1">
                          <a:noAutofit/>
                        </wps:bodyPr>
                      </wps:wsp>
                      <wps:wsp>
                        <wps:cNvPr id="10" name="Freeform 107"/>
                        <wps:cNvSpPr/>
                        <wps:spPr bwMode="auto">
                          <a:xfrm>
                            <a:off x="14705" y="0"/>
                            <a:ext cx="4491" cy="10800"/>
                          </a:xfrm>
                          <a:custGeom>
                            <a:avLst/>
                            <a:gdLst>
                              <a:gd name="T0" fmla="+- 0 19195 14705"/>
                              <a:gd name="T1" fmla="*/ T0 w 4491"/>
                              <a:gd name="T2" fmla="*/ 0 h 10800"/>
                              <a:gd name="T3" fmla="+- 0 14705 14705"/>
                              <a:gd name="T4" fmla="*/ T3 w 4491"/>
                              <a:gd name="T5" fmla="*/ 0 h 10800"/>
                              <a:gd name="T6" fmla="+- 0 18591 14705"/>
                              <a:gd name="T7" fmla="*/ T6 w 4491"/>
                              <a:gd name="T8" fmla="*/ 10800 h 10800"/>
                              <a:gd name="T9" fmla="+- 0 19195 14705"/>
                              <a:gd name="T10" fmla="*/ T9 w 4491"/>
                              <a:gd name="T11" fmla="*/ 10800 h 10800"/>
                              <a:gd name="T12" fmla="+- 0 19195 14705"/>
                              <a:gd name="T13" fmla="*/ T12 w 4491"/>
                              <a:gd name="T14" fmla="*/ 0 h 10800"/>
                            </a:gdLst>
                            <a:ahLst/>
                            <a:cxnLst>
                              <a:cxn ang="0">
                                <a:pos x="T1" y="T2"/>
                              </a:cxn>
                              <a:cxn ang="0">
                                <a:pos x="T4" y="T5"/>
                              </a:cxn>
                              <a:cxn ang="0">
                                <a:pos x="T7" y="T8"/>
                              </a:cxn>
                              <a:cxn ang="0">
                                <a:pos x="T10" y="T11"/>
                              </a:cxn>
                              <a:cxn ang="0">
                                <a:pos x="T13" y="T14"/>
                              </a:cxn>
                            </a:cxnLst>
                            <a:rect l="0" t="0" r="r" b="b"/>
                            <a:pathLst>
                              <a:path w="4491" h="10800">
                                <a:moveTo>
                                  <a:pt x="4490" y="0"/>
                                </a:moveTo>
                                <a:lnTo>
                                  <a:pt x="0" y="0"/>
                                </a:lnTo>
                                <a:lnTo>
                                  <a:pt x="3886" y="10800"/>
                                </a:lnTo>
                                <a:lnTo>
                                  <a:pt x="4490" y="10800"/>
                                </a:lnTo>
                                <a:lnTo>
                                  <a:pt x="4490" y="0"/>
                                </a:lnTo>
                                <a:close/>
                              </a:path>
                            </a:pathLst>
                          </a:custGeom>
                          <a:solidFill>
                            <a:srgbClr val="398F97">
                              <a:alpha val="70195"/>
                            </a:srgbClr>
                          </a:solidFill>
                          <a:ln>
                            <a:noFill/>
                          </a:ln>
                        </wps:spPr>
                        <wps:bodyPr rot="0" vert="horz" wrap="square" lIns="91440" tIns="45720" rIns="91440" bIns="45720" anchor="t" anchorCtr="0" upright="1">
                          <a:noAutofit/>
                        </wps:bodyPr>
                      </wps:wsp>
                      <wps:wsp>
                        <wps:cNvPr id="11" name="Freeform 108"/>
                        <wps:cNvSpPr/>
                        <wps:spPr bwMode="auto">
                          <a:xfrm>
                            <a:off x="17162" y="0"/>
                            <a:ext cx="2033" cy="10800"/>
                          </a:xfrm>
                          <a:custGeom>
                            <a:avLst/>
                            <a:gdLst>
                              <a:gd name="T0" fmla="+- 0 19195 17162"/>
                              <a:gd name="T1" fmla="*/ T0 w 2033"/>
                              <a:gd name="T2" fmla="*/ 0 h 10800"/>
                              <a:gd name="T3" fmla="+- 0 18767 17162"/>
                              <a:gd name="T4" fmla="*/ T3 w 2033"/>
                              <a:gd name="T5" fmla="*/ 0 h 10800"/>
                              <a:gd name="T6" fmla="+- 0 17162 17162"/>
                              <a:gd name="T7" fmla="*/ T6 w 2033"/>
                              <a:gd name="T8" fmla="*/ 10800 h 10800"/>
                              <a:gd name="T9" fmla="+- 0 19195 17162"/>
                              <a:gd name="T10" fmla="*/ T9 w 2033"/>
                              <a:gd name="T11" fmla="*/ 10800 h 10800"/>
                              <a:gd name="T12" fmla="+- 0 19195 17162"/>
                              <a:gd name="T13" fmla="*/ T12 w 2033"/>
                              <a:gd name="T14" fmla="*/ 0 h 10800"/>
                            </a:gdLst>
                            <a:ahLst/>
                            <a:cxnLst>
                              <a:cxn ang="0">
                                <a:pos x="T1" y="T2"/>
                              </a:cxn>
                              <a:cxn ang="0">
                                <a:pos x="T4" y="T5"/>
                              </a:cxn>
                              <a:cxn ang="0">
                                <a:pos x="T7" y="T8"/>
                              </a:cxn>
                              <a:cxn ang="0">
                                <a:pos x="T10" y="T11"/>
                              </a:cxn>
                              <a:cxn ang="0">
                                <a:pos x="T13" y="T14"/>
                              </a:cxn>
                            </a:cxnLst>
                            <a:rect l="0" t="0" r="r" b="b"/>
                            <a:pathLst>
                              <a:path w="2033" h="10800">
                                <a:moveTo>
                                  <a:pt x="2033" y="0"/>
                                </a:moveTo>
                                <a:lnTo>
                                  <a:pt x="1605" y="0"/>
                                </a:lnTo>
                                <a:lnTo>
                                  <a:pt x="0" y="10800"/>
                                </a:lnTo>
                                <a:lnTo>
                                  <a:pt x="2033" y="10800"/>
                                </a:lnTo>
                                <a:lnTo>
                                  <a:pt x="2033" y="0"/>
                                </a:lnTo>
                                <a:close/>
                              </a:path>
                            </a:pathLst>
                          </a:custGeom>
                          <a:solidFill>
                            <a:srgbClr val="7EC1DB">
                              <a:alpha val="70195"/>
                            </a:srgbClr>
                          </a:solidFill>
                          <a:ln>
                            <a:noFill/>
                          </a:ln>
                        </wps:spPr>
                        <wps:bodyPr rot="0" vert="horz" wrap="square" lIns="91440" tIns="45720" rIns="91440" bIns="45720" anchor="t" anchorCtr="0" upright="1">
                          <a:noAutofit/>
                        </wps:bodyPr>
                      </wps:wsp>
                      <wps:wsp>
                        <wps:cNvPr id="12" name="Freeform 109"/>
                        <wps:cNvSpPr/>
                        <wps:spPr bwMode="auto">
                          <a:xfrm>
                            <a:off x="17229" y="0"/>
                            <a:ext cx="1966" cy="10800"/>
                          </a:xfrm>
                          <a:custGeom>
                            <a:avLst/>
                            <a:gdLst>
                              <a:gd name="T0" fmla="+- 0 19195 17230"/>
                              <a:gd name="T1" fmla="*/ T0 w 1966"/>
                              <a:gd name="T2" fmla="*/ 0 h 10800"/>
                              <a:gd name="T3" fmla="+- 0 17230 17230"/>
                              <a:gd name="T4" fmla="*/ T3 w 1966"/>
                              <a:gd name="T5" fmla="*/ 0 h 10800"/>
                              <a:gd name="T6" fmla="+- 0 18974 17230"/>
                              <a:gd name="T7" fmla="*/ T6 w 1966"/>
                              <a:gd name="T8" fmla="*/ 10800 h 10800"/>
                              <a:gd name="T9" fmla="+- 0 19195 17230"/>
                              <a:gd name="T10" fmla="*/ T9 w 1966"/>
                              <a:gd name="T11" fmla="*/ 10800 h 10800"/>
                              <a:gd name="T12" fmla="+- 0 19195 17230"/>
                              <a:gd name="T13" fmla="*/ T12 w 1966"/>
                              <a:gd name="T14" fmla="*/ 0 h 10800"/>
                            </a:gdLst>
                            <a:ahLst/>
                            <a:cxnLst>
                              <a:cxn ang="0">
                                <a:pos x="T1" y="T2"/>
                              </a:cxn>
                              <a:cxn ang="0">
                                <a:pos x="T4" y="T5"/>
                              </a:cxn>
                              <a:cxn ang="0">
                                <a:pos x="T7" y="T8"/>
                              </a:cxn>
                              <a:cxn ang="0">
                                <a:pos x="T10" y="T11"/>
                              </a:cxn>
                              <a:cxn ang="0">
                                <a:pos x="T13" y="T14"/>
                              </a:cxn>
                            </a:cxnLst>
                            <a:rect l="0" t="0" r="r" b="b"/>
                            <a:pathLst>
                              <a:path w="1966" h="10800">
                                <a:moveTo>
                                  <a:pt x="1965" y="0"/>
                                </a:moveTo>
                                <a:lnTo>
                                  <a:pt x="0" y="0"/>
                                </a:lnTo>
                                <a:lnTo>
                                  <a:pt x="1744" y="10800"/>
                                </a:lnTo>
                                <a:lnTo>
                                  <a:pt x="1965" y="10800"/>
                                </a:lnTo>
                                <a:lnTo>
                                  <a:pt x="1965" y="0"/>
                                </a:lnTo>
                                <a:close/>
                              </a:path>
                            </a:pathLst>
                          </a:custGeom>
                          <a:solidFill>
                            <a:srgbClr val="3493B9">
                              <a:alpha val="65097"/>
                            </a:srgbClr>
                          </a:solidFill>
                          <a:ln>
                            <a:noFill/>
                          </a:ln>
                        </wps:spPr>
                        <wps:bodyPr rot="0" vert="horz" wrap="square" lIns="91440" tIns="45720" rIns="91440" bIns="45720" anchor="t" anchorCtr="0" upright="1">
                          <a:noAutofit/>
                        </wps:bodyPr>
                      </wps:wsp>
                      <wps:wsp>
                        <wps:cNvPr id="13" name="Freeform 110"/>
                        <wps:cNvSpPr/>
                        <wps:spPr bwMode="auto">
                          <a:xfrm>
                            <a:off x="16334" y="5654"/>
                            <a:ext cx="2861" cy="5146"/>
                          </a:xfrm>
                          <a:custGeom>
                            <a:avLst/>
                            <a:gdLst>
                              <a:gd name="T0" fmla="+- 0 19195 16334"/>
                              <a:gd name="T1" fmla="*/ T0 w 2861"/>
                              <a:gd name="T2" fmla="+- 0 5654 5654"/>
                              <a:gd name="T3" fmla="*/ 5654 h 5146"/>
                              <a:gd name="T4" fmla="+- 0 16334 16334"/>
                              <a:gd name="T5" fmla="*/ T4 w 2861"/>
                              <a:gd name="T6" fmla="+- 0 10800 5654"/>
                              <a:gd name="T7" fmla="*/ 10800 h 5146"/>
                              <a:gd name="T8" fmla="+- 0 19195 16334"/>
                              <a:gd name="T9" fmla="*/ T8 w 2861"/>
                              <a:gd name="T10" fmla="+- 0 10800 5654"/>
                              <a:gd name="T11" fmla="*/ 10800 h 5146"/>
                              <a:gd name="T12" fmla="+- 0 19195 16334"/>
                              <a:gd name="T13" fmla="*/ T12 w 2861"/>
                              <a:gd name="T14" fmla="+- 0 5654 5654"/>
                              <a:gd name="T15" fmla="*/ 5654 h 5146"/>
                            </a:gdLst>
                            <a:ahLst/>
                            <a:cxnLst>
                              <a:cxn ang="0">
                                <a:pos x="T1" y="T3"/>
                              </a:cxn>
                              <a:cxn ang="0">
                                <a:pos x="T5" y="T7"/>
                              </a:cxn>
                              <a:cxn ang="0">
                                <a:pos x="T9" y="T11"/>
                              </a:cxn>
                              <a:cxn ang="0">
                                <a:pos x="T13" y="T15"/>
                              </a:cxn>
                            </a:cxnLst>
                            <a:rect l="0" t="0" r="r" b="b"/>
                            <a:pathLst>
                              <a:path w="2861" h="5146">
                                <a:moveTo>
                                  <a:pt x="2861" y="0"/>
                                </a:moveTo>
                                <a:lnTo>
                                  <a:pt x="0" y="5146"/>
                                </a:lnTo>
                                <a:lnTo>
                                  <a:pt x="2861" y="5146"/>
                                </a:lnTo>
                                <a:lnTo>
                                  <a:pt x="2861" y="0"/>
                                </a:lnTo>
                                <a:close/>
                              </a:path>
                            </a:pathLst>
                          </a:custGeom>
                          <a:solidFill>
                            <a:srgbClr val="3493B9">
                              <a:alpha val="79999"/>
                            </a:srgbClr>
                          </a:solidFill>
                          <a:ln>
                            <a:noFill/>
                          </a:ln>
                        </wps:spPr>
                        <wps:bodyPr rot="0" vert="horz" wrap="square" lIns="91440" tIns="45720" rIns="91440" bIns="45720" anchor="t" anchorCtr="0" upright="1">
                          <a:noAutofit/>
                        </wps:bodyPr>
                      </wps:wsp>
                    </wpg:wgp>
                  </a:graphicData>
                </a:graphic>
              </wp:anchor>
            </w:drawing>
          </mc:Choice>
          <mc:Fallback>
            <w:pict>
              <v:group id="Group 101" o:spid="_x0000_s1026" o:spt="203" style="position:absolute;left:0pt;flip:y;margin-left:223.15pt;margin-top:-377.65pt;height:840.75pt;width:396pt;mso-position-horizontal-relative:page;mso-position-vertical-relative:page;rotation:5898240f;z-index:-251657216;mso-width-relative:page;mso-height-relative:page;" coordorigin="14066,0" coordsize="5134,10801" o:gfxdata="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">
                <o:lock v:ext="edit" aspectratio="f"/>
                <v:line id="Line 102" o:spid="_x0000_s1026" o:spt="20" style="position:absolute;left:14758;top:0;height:10800;width:1920;" filled="f" stroked="t" coordsize="21600,21600" o:gfxdata="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I1gpu8AAAA&#10;2gAAAA8AAAAAAAAAAQAgAAAAIgAAAGRycy9kb3ducmV2LnhtbFBLAQIUABQAAAAIAIdO4kAzLwWe&#10;OwAAADkAAAAQAAAAAAAAAAEAIAAAAAsBAABkcnMvc2hhcGV4bWwueG1sUEsFBgAAAAAGAAYAWwEA&#10;ALUDAAAAAA==&#10;">
                  <v:fill on="f" focussize="0,0"/>
                  <v:stroke color="#BEBEBE" joinstyle="round"/>
                  <v:imagedata o:title=""/>
                  <o:lock v:ext="edit" aspectratio="f"/>
                </v:line>
                <v:line id="Line 103" o:spid="_x0000_s1026" o:spt="20" style="position:absolute;left:19194;top:5798;height:5003;width:0;" filled="f" stroked="t" coordsize="21600,21600" o:gfxdata="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HK9i7sAAADa&#10;AAAADwAAAAAAAAABACAAAAAiAAAAZHJzL2Rvd25yZXYueG1sUEsBAhQAFAAAAAgAh07iQDMvBZ47&#10;AAAAOQAAABAAAAAAAAAAAQAgAAAACgEAAGRycy9zaGFwZXhtbC54bWxQSwUGAAAAAAYABgBbAQAA&#10;tAMAAAAA&#10;">
                  <v:fill on="f" focussize="0,0"/>
                  <v:stroke color="#D9D9D9" joinstyle="round"/>
                  <v:imagedata o:title=""/>
                  <o:lock v:ext="edit" aspectratio="f"/>
                </v:line>
                <v:shape id="Freeform 104" o:spid="_x0000_s1026" o:spt="100" style="position:absolute;left:14460;top:0;height:10800;width:4736;" fillcolor="#3493B9" filled="t" stroked="f" coordsize="4736,10800" o:gfxdata="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610H9r4A&#10;AADaAAAADwAAAAAAAAABACAAAAAiAAAAZHJzL2Rvd25yZXYueG1sUEsBAhQAFAAAAAgAh07iQDMv&#10;BZ47AAAAOQAAABAAAAAAAAAAAQAgAAAADQEAAGRycy9zaGFwZXhtbC54bWxQSwUGAAAAAAYABgBb&#10;AQAAtwMAAAAA&#10;" path="m4735,0l3217,0,0,10800,4735,10800,4735,0xe">
                  <v:path o:connectlocs="4735,0;3217,0;0,10800;4735,10800;4735,0" o:connectangles="0,0,0,0,0"/>
                  <v:fill on="t" opacity="19789f" focussize="0,0"/>
                  <v:stroke on="f"/>
                  <v:imagedata o:title=""/>
                  <o:lock v:ext="edit" aspectratio="f"/>
                </v:shape>
                <v:shape id="Freeform 105" o:spid="_x0000_s1026" o:spt="100" style="position:absolute;left:15124;top:0;height:10800;width:4076;" fillcolor="#3493B9" filled="t" stroked="f" coordsize="4076,10800" o:gfxdata="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zL2165AAAA2gAA&#10;AA8AAAAAAAAAAQAgAAAAIgAAAGRycy9kb3ducmV2LnhtbFBLAQIUABQAAAAIAIdO4kAzLwWeOwAA&#10;ADkAAAAQAAAAAAAAAAEAIAAAAAgBAABkcnMvc2hhcGV4bWwueG1sUEsFBgAAAAAGAAYAWwEAALID&#10;AAAAAA==&#10;" path="m4075,0l0,0,1903,10800,4075,10800,4075,0xe">
                  <v:path o:connectlocs="4075,0;0,0;1903,10800;4075,10800;4075,0" o:connectangles="0,0,0,0,0"/>
                  <v:fill on="t" opacity="13107f" focussize="0,0"/>
                  <v:stroke on="f"/>
                  <v:imagedata o:title=""/>
                  <o:lock v:ext="edit" aspectratio="f"/>
                </v:shape>
                <v:shape id="Freeform 106" o:spid="_x0000_s1026" o:spt="100" style="position:absolute;left:14066;top:4800;height:6000;width:5134;" fillcolor="#57B6C0" filled="t" stroked="f" coordsize="5134,6000" o:gfxdata="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zFMPC5AAAA2gAA&#10;AA8AAAAAAAAAAQAgAAAAIgAAAGRycy9kb3ducmV2LnhtbFBLAQIUABQAAAAIAIdO4kAzLwWeOwAA&#10;ADkAAAAQAAAAAAAAAAEAIAAAAAgBAABkcnMvc2hhcGV4bWwueG1sUEsFBgAAAAAGAAYAWwEAALID&#10;AAAAAA==&#10;" path="m5134,0l0,6000,5134,6000,5134,0xe">
                  <v:path o:connectlocs="5134,4800;0,10800;5134,10800;5134,4800" o:connectangles="0,0,0,0"/>
                  <v:fill on="t" opacity="47288f" focussize="0,0"/>
                  <v:stroke on="f"/>
                  <v:imagedata o:title=""/>
                  <o:lock v:ext="edit" aspectratio="f"/>
                </v:shape>
                <v:shape id="Freeform 107" o:spid="_x0000_s1026" o:spt="100" style="position:absolute;left:14705;top:0;height:10800;width:4491;" fillcolor="#398F97" filled="t" stroked="f" coordsize="4491,10800" o:gfxdata="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40e7b4A&#10;AADbAAAADwAAAAAAAAABACAAAAAiAAAAZHJzL2Rvd25yZXYueG1sUEsBAhQAFAAAAAgAh07iQDMv&#10;BZ47AAAAOQAAABAAAAAAAAAAAQAgAAAADQEAAGRycy9zaGFwZXhtbC54bWxQSwUGAAAAAAYABgBb&#10;AQAAtwMAAAAA&#10;" path="m4490,0l0,0,3886,10800,4490,10800,4490,0xe">
                  <v:path o:connectlocs="4490,0;0,0;3886,10800;4490,10800;4490,0" o:connectangles="0,0,0,0,0"/>
                  <v:fill on="t" opacity="46002f" focussize="0,0"/>
                  <v:stroke on="f"/>
                  <v:imagedata o:title=""/>
                  <o:lock v:ext="edit" aspectratio="f"/>
                </v:shape>
                <v:shape id="Freeform 108" o:spid="_x0000_s1026" o:spt="100" style="position:absolute;left:17162;top:0;height:10800;width:2033;" fillcolor="#7EC1DB" filled="t" stroked="f" coordsize="2033,10800" o:gfxdata="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Hnsp+twAAANsAAAAP&#10;AAAAAAAAAAEAIAAAACIAAABkcnMvZG93bnJldi54bWxQSwECFAAUAAAACACHTuJAMy8FnjsAAAA5&#10;AAAAEAAAAAAAAAABACAAAAAGAQAAZHJzL3NoYXBleG1sLnhtbFBLBQYAAAAABgAGAFsBAACwAwAA&#10;AAA=&#10;" path="m2033,0l1605,0,0,10800,2033,10800,2033,0xe">
                  <v:path o:connectlocs="2033,0;1605,0;0,10800;2033,10800;2033,0" o:connectangles="0,0,0,0,0"/>
                  <v:fill on="t" opacity="46002f" focussize="0,0"/>
                  <v:stroke on="f"/>
                  <v:imagedata o:title=""/>
                  <o:lock v:ext="edit" aspectratio="f"/>
                </v:shape>
                <v:shape id="Freeform 109" o:spid="_x0000_s1026" o:spt="100" style="position:absolute;left:17229;top:0;height:10800;width:1966;" fillcolor="#3493B9" filled="t" stroked="f" coordsize="1966,10800" o:gfxdata="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O2ZorsAAADb&#10;AAAADwAAAAAAAAABACAAAAAiAAAAZHJzL2Rvd25yZXYueG1sUEsBAhQAFAAAAAgAh07iQDMvBZ47&#10;AAAAOQAAABAAAAAAAAAAAQAgAAAACgEAAGRycy9zaGFwZXhtbC54bWxQSwUGAAAAAAYABgBbAQAA&#10;tAMAAAAA&#10;" path="m1965,0l0,0,1744,10800,1965,10800,1965,0xe">
                  <v:path o:connectlocs="1965,0;0,0;1744,10800;1965,10800;1965,0" o:connectangles="0,0,0,0,0"/>
                  <v:fill on="t" opacity="42661f" focussize="0,0"/>
                  <v:stroke on="f"/>
                  <v:imagedata o:title=""/>
                  <o:lock v:ext="edit" aspectratio="f"/>
                </v:shape>
                <v:shape id="Freeform 110" o:spid="_x0000_s1026" o:spt="100" style="position:absolute;left:16334;top:5654;height:5146;width:2861;" fillcolor="#3493B9" filled="t" stroked="f" coordsize="2861,5146" o:gfxdata="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hYvYGugAAANsA&#10;AAAPAAAAAAAAAAEAIAAAACIAAABkcnMvZG93bnJldi54bWxQSwECFAAUAAAACACHTuJAMy8FnjsA&#10;AAA5AAAAEAAAAAAAAAABACAAAAAJAQAAZHJzL3NoYXBleG1sLnhtbFBLBQYAAAAABgAGAFsBAACz&#10;AwAAAAA=&#10;" path="m2861,0l0,5146,2861,5146,2861,0xe">
                  <v:path o:connectlocs="2861,5654;0,10800;2861,10800;2861,5654" o:connectangles="0,0,0,0"/>
                  <v:fill on="t" opacity="52428f" focussize="0,0"/>
                  <v:stroke on="f"/>
                  <v:imagedata o:title=""/>
                  <o:lock v:ext="edit" aspectratio="f"/>
                </v:shape>
              </v:group>
            </w:pict>
          </mc:Fallback>
        </mc:AlternateContent>
      </w:r>
    </w:p>
    <w:p w14:paraId="1CED9F71">
      <w:pPr>
        <w:pStyle w:val="10"/>
        <w:spacing w:before="113" w:line="360" w:lineRule="auto"/>
        <w:ind w:left="0"/>
        <w:contextualSpacing/>
        <w:jc w:val="left"/>
        <w:rPr>
          <w:rFonts w:ascii="Arial" w:hAnsi="Arial" w:cs="Arial"/>
          <w:b/>
          <w:bCs/>
          <w:shd w:val="clear" w:color="auto" w:fill="FFFFFF"/>
          <w:lang w:val="pt-BR"/>
        </w:rPr>
      </w:pPr>
    </w:p>
    <w:p w14:paraId="1A234725">
      <w:pPr>
        <w:rPr>
          <w:rFonts w:ascii="Arial" w:hAnsi="Arial" w:cs="Arial"/>
          <w:b/>
          <w:bCs/>
          <w:color w:val="405CA1"/>
          <w:sz w:val="56"/>
          <w:szCs w:val="56"/>
          <w:lang w:val="pt-BR"/>
        </w:rPr>
      </w:pPr>
      <w:bookmarkStart w:id="18" w:name="_Hlk131503206"/>
      <w:r>
        <w:rPr>
          <w:rFonts w:ascii="Arial" w:hAnsi="Arial" w:cs="Arial"/>
          <w:color w:val="405CA1"/>
          <w:sz w:val="56"/>
          <w:szCs w:val="56"/>
          <w:lang w:val="pt-BR"/>
        </w:rPr>
        <w:t>PREGÃO</w:t>
      </w:r>
    </w:p>
    <w:p w14:paraId="566D0785">
      <w:pPr>
        <w:rPr>
          <w:rFonts w:ascii="Arial" w:hAnsi="Arial" w:cs="Arial"/>
          <w:b/>
          <w:bCs/>
          <w:color w:val="405CA1"/>
          <w:sz w:val="56"/>
          <w:szCs w:val="56"/>
          <w:lang w:val="pt-BR"/>
        </w:rPr>
      </w:pPr>
      <w:r>
        <w:rPr>
          <w:rFonts w:ascii="Arial" w:hAnsi="Arial" w:cs="Arial"/>
          <w:color w:val="405CA1"/>
          <w:sz w:val="56"/>
          <w:szCs w:val="56"/>
          <w:lang w:val="pt-BR"/>
        </w:rPr>
        <w:t>ELETRÔNICO</w:t>
      </w:r>
      <w:r>
        <w:rPr>
          <w:rFonts w:ascii="Arial" w:hAnsi="Arial" w:cs="Arial"/>
          <w:sz w:val="56"/>
          <w:szCs w:val="56"/>
          <w:lang w:val="pt-BR"/>
        </w:rPr>
        <w:t xml:space="preserve"> </w:t>
      </w:r>
    </w:p>
    <w:p w14:paraId="54C7794C">
      <w:pPr>
        <w:tabs>
          <w:tab w:val="left" w:pos="6615"/>
        </w:tabs>
        <w:rPr>
          <w:rFonts w:ascii="Arial" w:hAnsi="Arial" w:cs="Arial"/>
          <w:sz w:val="28"/>
          <w:szCs w:val="28"/>
          <w:lang w:val="pt-BR"/>
        </w:rPr>
      </w:pPr>
      <w:r>
        <w:rPr>
          <w:rFonts w:ascii="Arial" w:hAnsi="Arial" w:cs="Arial"/>
          <w:sz w:val="28"/>
          <w:szCs w:val="28"/>
          <w:lang w:val="pt-BR"/>
        </w:rPr>
        <w:t>90.003/2026</w:t>
      </w:r>
    </w:p>
    <w:p w14:paraId="2FC6522F">
      <w:pPr>
        <w:tabs>
          <w:tab w:val="left" w:pos="6615"/>
        </w:tabs>
        <w:rPr>
          <w:rFonts w:ascii="Arial" w:hAnsi="Arial" w:cs="Arial"/>
          <w:sz w:val="28"/>
          <w:szCs w:val="28"/>
          <w:lang w:val="pt-BR"/>
        </w:rPr>
      </w:pPr>
      <w:r>
        <w:rPr>
          <w:rFonts w:ascii="Arial" w:hAnsi="Arial" w:cs="Arial"/>
          <w:sz w:val="28"/>
          <w:szCs w:val="28"/>
          <w:lang w:val="pt-BR"/>
        </w:rPr>
        <w:tab/>
      </w:r>
    </w:p>
    <w:p w14:paraId="664B98E2">
      <w:pPr>
        <w:spacing w:line="259" w:lineRule="auto"/>
        <w:rPr>
          <w:rFonts w:ascii="Arial" w:hAnsi="Arial" w:cs="Arial"/>
          <w:b/>
          <w:bCs/>
          <w:color w:val="405CA1"/>
          <w:lang w:val="pt-BR"/>
        </w:rPr>
      </w:pPr>
    </w:p>
    <w:p w14:paraId="7D34FEB3">
      <w:pPr>
        <w:spacing w:line="259" w:lineRule="auto"/>
        <w:rPr>
          <w:rFonts w:ascii="Arial" w:hAnsi="Arial" w:cs="Arial"/>
          <w:b/>
          <w:bCs/>
          <w:color w:val="405CA1"/>
          <w:sz w:val="32"/>
          <w:szCs w:val="32"/>
          <w:lang w:val="pt-BR"/>
        </w:rPr>
      </w:pPr>
      <w:r>
        <w:rPr>
          <w:rFonts w:ascii="Arial" w:hAnsi="Arial" w:cs="Arial"/>
          <w:b/>
          <w:bCs/>
          <w:color w:val="405CA1"/>
          <w:sz w:val="32"/>
          <w:szCs w:val="32"/>
          <w:lang w:val="pt-BR"/>
        </w:rPr>
        <w:t>CONTRATANTE (UASG)</w:t>
      </w:r>
    </w:p>
    <w:p w14:paraId="751C08BE">
      <w:pPr>
        <w:rPr>
          <w:rFonts w:ascii="Arial" w:hAnsi="Arial" w:cs="Arial"/>
          <w:sz w:val="28"/>
          <w:szCs w:val="28"/>
          <w:lang w:val="pt-BR"/>
        </w:rPr>
      </w:pPr>
      <w:r>
        <w:rPr>
          <w:rFonts w:ascii="Arial" w:hAnsi="Arial" w:cs="Arial"/>
          <w:sz w:val="28"/>
          <w:szCs w:val="28"/>
          <w:lang w:val="pt-BR"/>
        </w:rPr>
        <w:t>985867</w:t>
      </w:r>
    </w:p>
    <w:p w14:paraId="4F885AA2">
      <w:pPr>
        <w:rPr>
          <w:rFonts w:ascii="Arial" w:hAnsi="Arial" w:cs="Arial"/>
          <w:color w:val="5B5B5F"/>
          <w:lang w:val="pt-BR"/>
        </w:rPr>
      </w:pPr>
    </w:p>
    <w:p w14:paraId="4376D9BE">
      <w:pPr>
        <w:rPr>
          <w:rFonts w:ascii="Arial" w:hAnsi="Arial" w:cs="Arial"/>
          <w:b/>
          <w:bCs/>
          <w:color w:val="405CA1"/>
          <w:lang w:val="pt-BR"/>
        </w:rPr>
      </w:pPr>
    </w:p>
    <w:p w14:paraId="3BC52EE8">
      <w:pPr>
        <w:rPr>
          <w:rFonts w:ascii="Arial" w:hAnsi="Arial" w:cs="Arial"/>
          <w:b/>
          <w:bCs/>
          <w:color w:val="5B5B5F"/>
          <w:sz w:val="32"/>
          <w:szCs w:val="32"/>
          <w:lang w:val="pt-BR"/>
        </w:rPr>
      </w:pPr>
      <w:r>
        <w:rPr>
          <w:rFonts w:ascii="Arial" w:hAnsi="Arial" w:cs="Arial"/>
          <w:b/>
          <w:bCs/>
          <w:color w:val="405CA1"/>
          <w:sz w:val="32"/>
          <w:szCs w:val="32"/>
          <w:lang w:val="pt-BR"/>
        </w:rPr>
        <w:t>OBJETO</w:t>
      </w:r>
    </w:p>
    <w:p w14:paraId="6E3687F5">
      <w:pPr>
        <w:jc w:val="both"/>
        <w:rPr>
          <w:rFonts w:ascii="Arial" w:hAnsi="Arial" w:cs="Arial"/>
          <w:b/>
          <w:bCs/>
          <w:sz w:val="28"/>
          <w:szCs w:val="28"/>
          <w:lang w:val="pt-BR"/>
        </w:rPr>
      </w:pPr>
      <w:r>
        <w:rPr>
          <w:rFonts w:ascii="Arial" w:hAnsi="Arial" w:cs="Arial"/>
          <w:b/>
          <w:bCs/>
          <w:sz w:val="28"/>
          <w:szCs w:val="28"/>
          <w:lang w:val="pt-BR"/>
        </w:rPr>
        <w:t xml:space="preserve">REGISTRO DE PREÇOS para futura e eventual CONTRATAÇÃO DE EMPRESA ESPECIALIZADA NA PRESTAÇÃO DE SERVIÇO </w:t>
      </w:r>
      <w:bookmarkStart w:id="19" w:name="_Hlk212813239"/>
      <w:r>
        <w:rPr>
          <w:rFonts w:ascii="Arial" w:hAnsi="Arial" w:cs="Arial"/>
          <w:b/>
          <w:bCs/>
          <w:sz w:val="28"/>
          <w:szCs w:val="28"/>
          <w:lang w:val="pt-BR"/>
        </w:rPr>
        <w:t>DE TRANSPORTE DE PASSAGEIROS (PACIENTES E ACOMPANHANTES)</w:t>
      </w:r>
      <w:bookmarkEnd w:id="19"/>
      <w:r>
        <w:rPr>
          <w:rFonts w:ascii="Arial" w:hAnsi="Arial" w:cs="Arial"/>
          <w:b/>
          <w:bCs/>
          <w:sz w:val="28"/>
          <w:szCs w:val="28"/>
          <w:lang w:val="pt-BR"/>
        </w:rPr>
        <w:t xml:space="preserve">, </w:t>
      </w:r>
      <w:bookmarkStart w:id="20" w:name="_Hlk212813266"/>
      <w:r>
        <w:rPr>
          <w:rFonts w:ascii="Arial" w:hAnsi="Arial" w:cs="Arial"/>
          <w:b/>
          <w:bCs/>
          <w:sz w:val="28"/>
          <w:szCs w:val="28"/>
          <w:lang w:val="pt-BR"/>
        </w:rPr>
        <w:t>considerando como itinerário o trajeto que vai do município de embarque qual seja, Nova Friburgo ao Município/Local de desembarque pré-determinado pela Central de Regulação/TFD (Tratamento Fora de Domicilio) e Coordenação de Saúde Auditiva</w:t>
      </w:r>
      <w:bookmarkEnd w:id="20"/>
      <w:r>
        <w:rPr>
          <w:rFonts w:ascii="Arial" w:hAnsi="Arial" w:cs="Arial"/>
          <w:b/>
          <w:bCs/>
          <w:sz w:val="28"/>
          <w:szCs w:val="28"/>
          <w:lang w:val="pt-BR"/>
        </w:rPr>
        <w:t>, pelo período de 01 (um) ano.</w:t>
      </w:r>
    </w:p>
    <w:p w14:paraId="453FB9D4">
      <w:pPr>
        <w:rPr>
          <w:rFonts w:ascii="Arial" w:hAnsi="Arial" w:cs="Arial"/>
          <w:b/>
          <w:bCs/>
          <w:color w:val="405CA1"/>
          <w:lang w:val="pt-BR"/>
        </w:rPr>
      </w:pPr>
    </w:p>
    <w:p w14:paraId="0008974E">
      <w:pPr>
        <w:rPr>
          <w:rFonts w:ascii="Arial" w:hAnsi="Arial" w:cs="Arial"/>
          <w:b/>
          <w:bCs/>
          <w:color w:val="405CA1"/>
          <w:lang w:val="pt-BR"/>
        </w:rPr>
      </w:pPr>
    </w:p>
    <w:p w14:paraId="38C8D774">
      <w:pPr>
        <w:rPr>
          <w:rFonts w:ascii="Arial" w:hAnsi="Arial" w:cs="Arial"/>
          <w:b/>
          <w:bCs/>
          <w:color w:val="405CA1"/>
          <w:sz w:val="32"/>
          <w:szCs w:val="32"/>
          <w:lang w:val="pt-BR"/>
        </w:rPr>
      </w:pPr>
      <w:r>
        <w:rPr>
          <w:rFonts w:ascii="Arial" w:hAnsi="Arial" w:cs="Arial"/>
          <w:b/>
          <w:bCs/>
          <w:color w:val="405CA1"/>
          <w:sz w:val="32"/>
          <w:szCs w:val="32"/>
          <w:lang w:val="pt-BR"/>
        </w:rPr>
        <w:t>VALOR TOTAL DA CONTRATAÇÃO</w:t>
      </w:r>
    </w:p>
    <w:p w14:paraId="0BFE4407">
      <w:pPr>
        <w:rPr>
          <w:rFonts w:ascii="Arial" w:hAnsi="Arial" w:cs="Arial"/>
          <w:b/>
          <w:bCs/>
          <w:sz w:val="28"/>
          <w:szCs w:val="28"/>
          <w:lang w:val="pt-BR"/>
        </w:rPr>
      </w:pPr>
      <w:r>
        <w:rPr>
          <w:rFonts w:ascii="Arial" w:hAnsi="Arial" w:cs="Arial"/>
          <w:b/>
          <w:bCs/>
          <w:sz w:val="28"/>
          <w:szCs w:val="28"/>
          <w:lang w:val="pt-BR"/>
        </w:rPr>
        <w:t>R$ 10.567.313,66</w:t>
      </w:r>
    </w:p>
    <w:p w14:paraId="34846D93">
      <w:pPr>
        <w:rPr>
          <w:rFonts w:ascii="Arial" w:hAnsi="Arial" w:cs="Arial"/>
          <w:b/>
          <w:bCs/>
          <w:color w:val="5B5B5F"/>
          <w:lang w:val="pt-BR"/>
        </w:rPr>
      </w:pPr>
    </w:p>
    <w:p w14:paraId="576C809C">
      <w:pPr>
        <w:rPr>
          <w:rFonts w:ascii="Arial" w:hAnsi="Arial" w:cs="Arial"/>
          <w:color w:val="5B5B5F"/>
          <w:lang w:val="pt-BR"/>
        </w:rPr>
      </w:pPr>
    </w:p>
    <w:p w14:paraId="788EC333">
      <w:pPr>
        <w:rPr>
          <w:rFonts w:ascii="Arial" w:hAnsi="Arial" w:cs="Arial"/>
          <w:b/>
          <w:bCs/>
          <w:color w:val="405CA1"/>
          <w:sz w:val="32"/>
          <w:szCs w:val="32"/>
          <w:lang w:val="pt-BR"/>
        </w:rPr>
      </w:pPr>
      <w:r>
        <w:rPr>
          <w:rFonts w:ascii="Arial" w:hAnsi="Arial" w:cs="Arial"/>
          <w:b/>
          <w:bCs/>
          <w:color w:val="405CA1"/>
          <w:sz w:val="32"/>
          <w:szCs w:val="32"/>
          <w:lang w:val="pt-BR"/>
        </w:rPr>
        <w:t>DATA DA SESSÃO PÚBLICA</w:t>
      </w:r>
    </w:p>
    <w:p w14:paraId="17E37643">
      <w:pPr>
        <w:rPr>
          <w:rFonts w:ascii="Arial" w:hAnsi="Arial" w:cs="Arial"/>
          <w:b/>
          <w:bCs/>
          <w:sz w:val="28"/>
          <w:szCs w:val="28"/>
          <w:lang w:val="pt-BR"/>
        </w:rPr>
      </w:pPr>
      <w:r>
        <w:rPr>
          <w:rFonts w:ascii="Arial" w:hAnsi="Arial" w:cs="Arial"/>
          <w:sz w:val="28"/>
          <w:szCs w:val="28"/>
          <w:lang w:val="pt-BR"/>
        </w:rPr>
        <w:t xml:space="preserve">Dia </w:t>
      </w:r>
      <w:r>
        <w:rPr>
          <w:rFonts w:hint="default" w:ascii="Arial" w:hAnsi="Arial" w:cs="Arial"/>
          <w:b/>
          <w:bCs/>
          <w:sz w:val="28"/>
          <w:szCs w:val="28"/>
          <w:highlight w:val="none"/>
          <w:lang w:val="pt-BR"/>
        </w:rPr>
        <w:t>12</w:t>
      </w:r>
      <w:r>
        <w:rPr>
          <w:rFonts w:ascii="Arial" w:hAnsi="Arial" w:cs="Arial"/>
          <w:b/>
          <w:bCs/>
          <w:sz w:val="28"/>
          <w:szCs w:val="28"/>
          <w:highlight w:val="none"/>
          <w:lang w:val="pt-BR"/>
        </w:rPr>
        <w:t>/0</w:t>
      </w:r>
      <w:r>
        <w:rPr>
          <w:rFonts w:hint="default" w:ascii="Arial" w:hAnsi="Arial" w:cs="Arial"/>
          <w:b/>
          <w:bCs/>
          <w:sz w:val="28"/>
          <w:szCs w:val="28"/>
          <w:highlight w:val="none"/>
          <w:lang w:val="pt-BR"/>
        </w:rPr>
        <w:t>3</w:t>
      </w:r>
      <w:r>
        <w:rPr>
          <w:rFonts w:ascii="Arial" w:hAnsi="Arial" w:cs="Arial"/>
          <w:b/>
          <w:bCs/>
          <w:sz w:val="28"/>
          <w:szCs w:val="28"/>
          <w:highlight w:val="none"/>
          <w:lang w:val="pt-BR"/>
        </w:rPr>
        <w:t>/2026 às 10h</w:t>
      </w:r>
      <w:r>
        <w:rPr>
          <w:rFonts w:ascii="Arial" w:hAnsi="Arial" w:cs="Arial"/>
          <w:b/>
          <w:bCs/>
          <w:sz w:val="28"/>
          <w:szCs w:val="28"/>
          <w:lang w:val="pt-BR"/>
        </w:rPr>
        <w:t xml:space="preserve"> (horário de Brasília)</w:t>
      </w:r>
    </w:p>
    <w:p w14:paraId="0C3CB033">
      <w:pPr>
        <w:rPr>
          <w:rFonts w:ascii="Arial" w:hAnsi="Arial" w:cs="Arial"/>
          <w:b/>
          <w:bCs/>
          <w:sz w:val="28"/>
          <w:szCs w:val="28"/>
          <w:lang w:val="pt-BR"/>
        </w:rPr>
      </w:pPr>
    </w:p>
    <w:p w14:paraId="0F404F6D">
      <w:pPr>
        <w:jc w:val="both"/>
        <w:rPr>
          <w:rFonts w:ascii="Arial" w:hAnsi="Arial" w:cs="Arial"/>
          <w:b/>
          <w:bCs/>
          <w:caps/>
          <w:color w:val="405CA1"/>
          <w:lang w:val="pt-BR"/>
        </w:rPr>
      </w:pPr>
    </w:p>
    <w:p w14:paraId="3133B33C">
      <w:pPr>
        <w:jc w:val="both"/>
        <w:rPr>
          <w:rFonts w:ascii="Arial" w:hAnsi="Arial" w:cs="Arial"/>
          <w:caps/>
          <w:color w:val="0000FF"/>
          <w:sz w:val="32"/>
          <w:szCs w:val="32"/>
          <w:lang w:val="pt-BR"/>
        </w:rPr>
      </w:pPr>
      <w:r>
        <w:rPr>
          <w:rFonts w:ascii="Arial" w:hAnsi="Arial" w:cs="Arial"/>
          <w:b/>
          <w:bCs/>
          <w:caps/>
          <w:color w:val="405CA1"/>
          <w:sz w:val="32"/>
          <w:szCs w:val="32"/>
          <w:lang w:val="pt-BR"/>
        </w:rPr>
        <w:t>Critério de Julgamento:</w:t>
      </w:r>
    </w:p>
    <w:p w14:paraId="276FC5D6">
      <w:pPr>
        <w:jc w:val="both"/>
        <w:rPr>
          <w:rFonts w:ascii="Arial" w:hAnsi="Arial" w:cs="Arial"/>
          <w:sz w:val="28"/>
          <w:szCs w:val="28"/>
          <w:lang w:val="pt-BR"/>
        </w:rPr>
      </w:pPr>
      <w:r>
        <w:rPr>
          <w:rFonts w:ascii="Arial" w:hAnsi="Arial" w:cs="Arial"/>
          <w:sz w:val="28"/>
          <w:szCs w:val="28"/>
          <w:lang w:val="pt-BR"/>
        </w:rPr>
        <w:t>Menor preço global por lote</w:t>
      </w:r>
    </w:p>
    <w:p w14:paraId="06056FB3">
      <w:pPr>
        <w:jc w:val="both"/>
        <w:rPr>
          <w:rFonts w:ascii="Arial" w:hAnsi="Arial" w:cs="Arial"/>
          <w:lang w:val="pt-BR"/>
        </w:rPr>
      </w:pPr>
    </w:p>
    <w:p w14:paraId="2D857D49">
      <w:pPr>
        <w:jc w:val="both"/>
        <w:rPr>
          <w:rFonts w:ascii="Arial" w:hAnsi="Arial" w:cs="Arial"/>
          <w:lang w:val="pt-BR"/>
        </w:rPr>
      </w:pPr>
    </w:p>
    <w:p w14:paraId="199AC80C">
      <w:pPr>
        <w:jc w:val="both"/>
        <w:rPr>
          <w:rFonts w:ascii="Arial" w:hAnsi="Arial" w:cs="Arial"/>
          <w:caps/>
          <w:sz w:val="32"/>
          <w:szCs w:val="32"/>
          <w:lang w:val="pt-BR"/>
        </w:rPr>
      </w:pPr>
      <w:r>
        <w:rPr>
          <w:rFonts w:ascii="Arial" w:hAnsi="Arial" w:cs="Arial"/>
          <w:b/>
          <w:bCs/>
          <w:caps/>
          <w:color w:val="405CA1"/>
          <w:sz w:val="32"/>
          <w:szCs w:val="32"/>
          <w:lang w:val="pt-BR"/>
        </w:rPr>
        <w:t>Modo de disputa:</w:t>
      </w:r>
    </w:p>
    <w:p w14:paraId="61F939AB">
      <w:pPr>
        <w:jc w:val="both"/>
        <w:rPr>
          <w:rFonts w:ascii="Arial" w:hAnsi="Arial" w:cs="Arial"/>
          <w:lang w:val="pt-BR"/>
        </w:rPr>
      </w:pPr>
      <w:r>
        <w:rPr>
          <w:rFonts w:ascii="Arial" w:hAnsi="Arial" w:cs="Arial"/>
          <w:b/>
          <w:sz w:val="28"/>
          <w:szCs w:val="28"/>
          <w:lang w:val="pt-BR"/>
        </w:rPr>
        <mc:AlternateContent>
          <mc:Choice Requires="wps">
            <w:drawing>
              <wp:anchor distT="45720" distB="45720" distL="114300" distR="114300" simplePos="0" relativeHeight="251660288" behindDoc="0" locked="0" layoutInCell="1" allowOverlap="1">
                <wp:simplePos x="0" y="0"/>
                <wp:positionH relativeFrom="column">
                  <wp:posOffset>4937760</wp:posOffset>
                </wp:positionH>
                <wp:positionV relativeFrom="paragraph">
                  <wp:posOffset>197485</wp:posOffset>
                </wp:positionV>
                <wp:extent cx="1543050" cy="1781175"/>
                <wp:effectExtent l="0" t="0" r="0" b="9525"/>
                <wp:wrapNone/>
                <wp:docPr id="217" name="Caixa de Texto 2"/>
                <wp:cNvGraphicFramePr/>
                <a:graphic xmlns:a="http://schemas.openxmlformats.org/drawingml/2006/main">
                  <a:graphicData uri="http://schemas.microsoft.com/office/word/2010/wordprocessingShape">
                    <wps:wsp>
                      <wps:cNvSpPr txBox="1">
                        <a:spLocks noChangeArrowheads="1"/>
                      </wps:cNvSpPr>
                      <wps:spPr bwMode="auto">
                        <a:xfrm>
                          <a:off x="0" y="0"/>
                          <a:ext cx="1543050" cy="1781175"/>
                        </a:xfrm>
                        <a:prstGeom prst="rect">
                          <a:avLst/>
                        </a:prstGeom>
                        <a:solidFill>
                          <a:srgbClr val="FFFFFF"/>
                        </a:solidFill>
                        <a:ln w="9525">
                          <a:noFill/>
                          <a:miter lim="800000"/>
                        </a:ln>
                      </wps:spPr>
                      <wps:txbx>
                        <w:txbxContent>
                          <w:p w14:paraId="1E33EF7A">
                            <w:pPr>
                              <w:rPr>
                                <w:rFonts w:ascii="Arial" w:hAnsi="Arial" w:cs="Arial"/>
                                <w:color w:val="405CA1"/>
                                <w:sz w:val="16"/>
                                <w:szCs w:val="16"/>
                              </w:rPr>
                            </w:pPr>
                            <w:r>
                              <w:drawing>
                                <wp:inline distT="0" distB="0" distL="0" distR="0">
                                  <wp:extent cx="1381125" cy="1381125"/>
                                  <wp:effectExtent l="0" t="0" r="9525" b="9525"/>
                                  <wp:docPr id="16" name="Imagem 16"/>
                                  <wp:cNvGraphicFramePr/>
                                  <a:graphic xmlns:a="http://schemas.openxmlformats.org/drawingml/2006/main">
                                    <a:graphicData uri="http://schemas.openxmlformats.org/drawingml/2006/picture">
                                      <pic:pic xmlns:pic="http://schemas.openxmlformats.org/drawingml/2006/picture">
                                        <pic:nvPicPr>
                                          <pic:cNvPr id="16" name="Imagem 16"/>
                                          <pic:cNvPicPr/>
                                        </pic:nvPicPr>
                                        <pic:blipFill>
                                          <a:blip r:embed="rId7">
                                            <a:extLst>
                                              <a:ext uri="{28A0092B-C50C-407E-A947-70E740481C1C}">
                                                <a14:useLocalDpi xmlns:a14="http://schemas.microsoft.com/office/drawing/2010/main" val="0"/>
                                              </a:ext>
                                            </a:extLst>
                                          </a:blip>
                                          <a:srcRect/>
                                          <a:stretch>
                                            <a:fillRect/>
                                          </a:stretch>
                                        </pic:blipFill>
                                        <pic:spPr>
                                          <a:xfrm>
                                            <a:off x="0" y="0"/>
                                            <a:ext cx="1381125" cy="1381125"/>
                                          </a:xfrm>
                                          <a:prstGeom prst="rect">
                                            <a:avLst/>
                                          </a:prstGeom>
                                          <a:noFill/>
                                          <a:ln>
                                            <a:noFill/>
                                          </a:ln>
                                        </pic:spPr>
                                      </pic:pic>
                                    </a:graphicData>
                                  </a:graphic>
                                </wp:inline>
                              </w:drawing>
                            </w:r>
                          </w:p>
                          <w:p w14:paraId="084B7309">
                            <w:pPr>
                              <w:rPr>
                                <w:rFonts w:ascii="Arial" w:hAnsi="Arial" w:cs="Arial"/>
                                <w:color w:val="405CA1"/>
                                <w:sz w:val="16"/>
                                <w:szCs w:val="16"/>
                              </w:rPr>
                            </w:pPr>
                            <w:r>
                              <w:rPr>
                                <w:rFonts w:ascii="Arial" w:hAnsi="Arial" w:cs="Arial"/>
                                <w:color w:val="405CA1"/>
                                <w:sz w:val="16"/>
                                <w:szCs w:val="16"/>
                              </w:rPr>
                              <w:t xml:space="preserve"> Baixe o APP Compras.gov.br</w:t>
                            </w:r>
                          </w:p>
                          <w:p w14:paraId="7EDAA974">
                            <w:pPr>
                              <w:rPr>
                                <w:rFonts w:ascii="Arial" w:hAnsi="Arial" w:cs="Arial"/>
                                <w:color w:val="405CA1"/>
                                <w:sz w:val="16"/>
                                <w:szCs w:val="16"/>
                              </w:rPr>
                            </w:pPr>
                            <w:r>
                              <w:rPr>
                                <w:rFonts w:ascii="Arial" w:hAnsi="Arial" w:cs="Arial"/>
                                <w:color w:val="405CA1"/>
                                <w:sz w:val="16"/>
                                <w:szCs w:val="16"/>
                              </w:rPr>
                              <w:t xml:space="preserve"> e apresente a sua proposta</w:t>
                            </w:r>
                          </w:p>
                        </w:txbxContent>
                      </wps:txbx>
                      <wps:bodyPr rot="0" vert="horz" wrap="square" lIns="91440" tIns="45720" rIns="91440" bIns="45720" anchor="t" anchorCtr="0">
                        <a:noAutofit/>
                      </wps:bodyPr>
                    </wps:wsp>
                  </a:graphicData>
                </a:graphic>
              </wp:anchor>
            </w:drawing>
          </mc:Choice>
          <mc:Fallback>
            <w:pict>
              <v:shape id="Caixa de Texto 2" o:spid="_x0000_s1026" o:spt="202" type="#_x0000_t202" style="position:absolute;left:0pt;margin-left:388.8pt;margin-top:15.55pt;height:140.25pt;width:121.5pt;z-index:251660288;mso-width-relative:page;mso-height-relative:page;" fillcolor="#FFFFFF" filled="t" stroked="f" coordsize="21600,21600" o:gfxdata="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2bgSc1gAAAAsBAAAPAAAAAAAAAAEAIAAAACIAAABkcnMvZG93bnJldi54bWxQSwEC&#10;FAAUAAAACACHTuJAsJnDCy8CAABaBAAADgAAAAAAAAABACAAAAAlAQAAZHJzL2Uyb0RvYy54bWxQ&#10;SwUGAAAAAAYABgBZAQAAxgUAAAAA&#10;">
                <v:fill on="t" focussize="0,0"/>
                <v:stroke on="f" miterlimit="8" joinstyle="miter"/>
                <v:imagedata o:title=""/>
                <o:lock v:ext="edit" aspectratio="f"/>
                <v:textbox>
                  <w:txbxContent>
                    <w:p w14:paraId="1E33EF7A">
                      <w:pPr>
                        <w:rPr>
                          <w:rFonts w:ascii="Arial" w:hAnsi="Arial" w:cs="Arial"/>
                          <w:color w:val="405CA1"/>
                          <w:sz w:val="16"/>
                          <w:szCs w:val="16"/>
                        </w:rPr>
                      </w:pPr>
                      <w:r>
                        <w:drawing>
                          <wp:inline distT="0" distB="0" distL="0" distR="0">
                            <wp:extent cx="1381125" cy="1381125"/>
                            <wp:effectExtent l="0" t="0" r="9525" b="9525"/>
                            <wp:docPr id="16" name="Imagem 16"/>
                            <wp:cNvGraphicFramePr/>
                            <a:graphic xmlns:a="http://schemas.openxmlformats.org/drawingml/2006/main">
                              <a:graphicData uri="http://schemas.openxmlformats.org/drawingml/2006/picture">
                                <pic:pic xmlns:pic="http://schemas.openxmlformats.org/drawingml/2006/picture">
                                  <pic:nvPicPr>
                                    <pic:cNvPr id="16" name="Imagem 16"/>
                                    <pic:cNvPicPr/>
                                  </pic:nvPicPr>
                                  <pic:blipFill>
                                    <a:blip r:embed="rId7">
                                      <a:extLst>
                                        <a:ext uri="{28A0092B-C50C-407E-A947-70E740481C1C}">
                                          <a14:useLocalDpi xmlns:a14="http://schemas.microsoft.com/office/drawing/2010/main" val="0"/>
                                        </a:ext>
                                      </a:extLst>
                                    </a:blip>
                                    <a:srcRect/>
                                    <a:stretch>
                                      <a:fillRect/>
                                    </a:stretch>
                                  </pic:blipFill>
                                  <pic:spPr>
                                    <a:xfrm>
                                      <a:off x="0" y="0"/>
                                      <a:ext cx="1381125" cy="1381125"/>
                                    </a:xfrm>
                                    <a:prstGeom prst="rect">
                                      <a:avLst/>
                                    </a:prstGeom>
                                    <a:noFill/>
                                    <a:ln>
                                      <a:noFill/>
                                    </a:ln>
                                  </pic:spPr>
                                </pic:pic>
                              </a:graphicData>
                            </a:graphic>
                          </wp:inline>
                        </w:drawing>
                      </w:r>
                    </w:p>
                    <w:p w14:paraId="084B7309">
                      <w:pPr>
                        <w:rPr>
                          <w:rFonts w:ascii="Arial" w:hAnsi="Arial" w:cs="Arial"/>
                          <w:color w:val="405CA1"/>
                          <w:sz w:val="16"/>
                          <w:szCs w:val="16"/>
                        </w:rPr>
                      </w:pPr>
                      <w:r>
                        <w:rPr>
                          <w:rFonts w:ascii="Arial" w:hAnsi="Arial" w:cs="Arial"/>
                          <w:color w:val="405CA1"/>
                          <w:sz w:val="16"/>
                          <w:szCs w:val="16"/>
                        </w:rPr>
                        <w:t xml:space="preserve"> Baixe o APP Compras.gov.br</w:t>
                      </w:r>
                    </w:p>
                    <w:p w14:paraId="7EDAA974">
                      <w:pPr>
                        <w:rPr>
                          <w:rFonts w:ascii="Arial" w:hAnsi="Arial" w:cs="Arial"/>
                          <w:color w:val="405CA1"/>
                          <w:sz w:val="16"/>
                          <w:szCs w:val="16"/>
                        </w:rPr>
                      </w:pPr>
                      <w:r>
                        <w:rPr>
                          <w:rFonts w:ascii="Arial" w:hAnsi="Arial" w:cs="Arial"/>
                          <w:color w:val="405CA1"/>
                          <w:sz w:val="16"/>
                          <w:szCs w:val="16"/>
                        </w:rPr>
                        <w:t xml:space="preserve"> e apresente a sua proposta</w:t>
                      </w:r>
                    </w:p>
                  </w:txbxContent>
                </v:textbox>
              </v:shape>
            </w:pict>
          </mc:Fallback>
        </mc:AlternateContent>
      </w:r>
      <w:r>
        <w:rPr>
          <w:rFonts w:ascii="Arial" w:hAnsi="Arial" w:cs="Arial"/>
          <w:sz w:val="28"/>
          <w:szCs w:val="28"/>
          <w:lang w:val="pt-BR"/>
        </w:rPr>
        <w:t>Aberto e fechado</w:t>
      </w:r>
    </w:p>
    <w:p w14:paraId="31262FA3">
      <w:pPr>
        <w:rPr>
          <w:rFonts w:ascii="Arial" w:hAnsi="Arial" w:cs="Arial"/>
          <w:color w:val="5B5B5F"/>
          <w:lang w:val="pt-BR"/>
        </w:rPr>
      </w:pPr>
    </w:p>
    <w:p w14:paraId="20FE43E1">
      <w:pPr>
        <w:rPr>
          <w:rFonts w:ascii="Arial" w:hAnsi="Arial" w:cs="Arial"/>
          <w:b/>
          <w:bCs/>
          <w:color w:val="405CA1"/>
          <w:lang w:val="pt-BR"/>
        </w:rPr>
      </w:pPr>
    </w:p>
    <w:p w14:paraId="557EC30A">
      <w:pPr>
        <w:rPr>
          <w:rFonts w:ascii="Arial" w:hAnsi="Arial" w:cs="Arial"/>
          <w:b/>
          <w:bCs/>
          <w:color w:val="405CA1"/>
          <w:sz w:val="32"/>
          <w:szCs w:val="32"/>
          <w:lang w:val="pt-BR"/>
        </w:rPr>
      </w:pPr>
      <w:r>
        <w:rPr>
          <w:rFonts w:ascii="Arial" w:hAnsi="Arial" w:cs="Arial"/>
          <w:b/>
          <w:bCs/>
          <w:color w:val="405CA1"/>
          <w:sz w:val="32"/>
          <w:szCs w:val="32"/>
          <w:lang w:val="pt-BR"/>
        </w:rPr>
        <w:t>PREFERÊNCIA ME/EPP/EQUIPARADAS</w:t>
      </w:r>
    </w:p>
    <w:p w14:paraId="7B0D283A">
      <w:pPr>
        <w:rPr>
          <w:rFonts w:ascii="Arial" w:hAnsi="Arial" w:cs="Arial"/>
          <w:b/>
          <w:bCs/>
          <w:sz w:val="28"/>
          <w:szCs w:val="28"/>
          <w:lang w:val="pt-BR"/>
        </w:rPr>
      </w:pPr>
      <w:r>
        <w:rPr>
          <w:rFonts w:ascii="Arial" w:hAnsi="Arial" w:cs="Arial"/>
          <w:b/>
          <w:bCs/>
          <w:sz w:val="28"/>
          <w:szCs w:val="28"/>
          <w:lang w:val="pt-BR"/>
        </w:rPr>
        <w:t>NÃO</w:t>
      </w:r>
    </w:p>
    <w:p w14:paraId="56C0B3B2">
      <w:pPr>
        <w:rPr>
          <w:rFonts w:ascii="Arial" w:hAnsi="Arial" w:cs="Arial"/>
          <w:b/>
          <w:bCs/>
          <w:color w:val="5B5B5F"/>
          <w:lang w:val="pt-BR"/>
        </w:rPr>
      </w:pPr>
    </w:p>
    <w:bookmarkEnd w:id="18"/>
    <w:p w14:paraId="59620A01">
      <w:pPr>
        <w:spacing w:before="113" w:line="360" w:lineRule="auto"/>
        <w:ind w:right="3543"/>
        <w:contextualSpacing/>
        <w:rPr>
          <w:rFonts w:ascii="Arial" w:hAnsi="Arial" w:cs="Arial"/>
          <w:b/>
          <w:lang w:val="pt-BR"/>
        </w:rPr>
      </w:pPr>
      <w:r>
        <w:rPr>
          <w:rFonts w:ascii="Arial" w:hAnsi="Arial" w:cs="Arial"/>
          <w:lang w:val="pt-BR"/>
        </w:rPr>
        <w:tab/>
      </w:r>
    </w:p>
    <w:p w14:paraId="383A4D2E">
      <w:pPr>
        <w:tabs>
          <w:tab w:val="center" w:pos="5165"/>
          <w:tab w:val="right" w:pos="7655"/>
        </w:tabs>
        <w:spacing w:before="113" w:line="360" w:lineRule="auto"/>
        <w:ind w:left="2675" w:right="2551"/>
        <w:contextualSpacing/>
        <w:rPr>
          <w:rFonts w:ascii="Arial" w:hAnsi="Arial" w:cs="Arial"/>
          <w:b/>
          <w:bCs/>
          <w:color w:val="405CA1"/>
          <w:sz w:val="32"/>
          <w:szCs w:val="32"/>
          <w:lang w:val="pt-BR"/>
        </w:rPr>
      </w:pPr>
      <w:r>
        <w:rPr>
          <w:rFonts w:ascii="Arial" w:hAnsi="Arial" w:cs="Arial"/>
          <w:b/>
          <w:lang w:val="pt-BR"/>
        </w:rPr>
        <w:tab/>
      </w:r>
      <w:r>
        <w:rPr>
          <w:rFonts w:ascii="Arial" w:hAnsi="Arial" w:cs="Arial"/>
          <w:b/>
          <w:bCs/>
          <w:color w:val="405CA1"/>
          <w:sz w:val="32"/>
          <w:szCs w:val="32"/>
          <w:lang w:val="pt-BR"/>
        </w:rPr>
        <w:t>ÍNDICE</w:t>
      </w:r>
    </w:p>
    <w:p w14:paraId="4392D40E">
      <w:pPr>
        <w:pStyle w:val="15"/>
        <w:tabs>
          <w:tab w:val="right" w:leader="dot" w:pos="10193"/>
        </w:tabs>
        <w:rPr>
          <w:rFonts w:ascii="Arial" w:hAnsi="Arial" w:cs="Arial" w:eastAsiaTheme="minorEastAsia"/>
          <w:sz w:val="20"/>
          <w:szCs w:val="20"/>
          <w:lang w:val="pt-BR" w:eastAsia="pt-BR" w:bidi="ar-SA"/>
        </w:rPr>
      </w:pPr>
      <w:r>
        <w:rPr>
          <w:rFonts w:ascii="Arial" w:hAnsi="Arial" w:cs="Arial"/>
          <w:color w:val="405CA1"/>
          <w:sz w:val="20"/>
          <w:szCs w:val="20"/>
          <w:lang w:val="pt-BR"/>
        </w:rPr>
        <w:fldChar w:fldCharType="begin"/>
      </w:r>
      <w:r>
        <w:rPr>
          <w:rFonts w:ascii="Arial" w:hAnsi="Arial" w:cs="Arial"/>
          <w:color w:val="405CA1"/>
          <w:sz w:val="20"/>
          <w:szCs w:val="20"/>
          <w:lang w:val="pt-BR"/>
        </w:rPr>
        <w:instrText xml:space="preserve">TOC \o "1-1" \h \z \u </w:instrText>
      </w:r>
      <w:r>
        <w:rPr>
          <w:rFonts w:ascii="Arial" w:hAnsi="Arial" w:cs="Arial"/>
          <w:color w:val="405CA1"/>
          <w:sz w:val="20"/>
          <w:szCs w:val="20"/>
          <w:lang w:val="pt-BR"/>
        </w:rPr>
        <w:fldChar w:fldCharType="separate"/>
      </w:r>
      <w:r>
        <w:fldChar w:fldCharType="begin"/>
      </w:r>
      <w:r>
        <w:instrText xml:space="preserve"> HYPERLINK \l "_Toc151457779" </w:instrText>
      </w:r>
      <w:r>
        <w:fldChar w:fldCharType="separate"/>
      </w:r>
      <w:r>
        <w:rPr>
          <w:rStyle w:val="9"/>
          <w:rFonts w:ascii="Arial" w:hAnsi="Arial" w:cs="Arial"/>
          <w:spacing w:val="-2"/>
          <w:w w:val="115"/>
          <w:sz w:val="20"/>
          <w:szCs w:val="20"/>
          <w:lang w:val="pt-BR"/>
        </w:rPr>
        <w:t>1.</w:t>
      </w:r>
      <w:r>
        <w:rPr>
          <w:rFonts w:ascii="Arial" w:hAnsi="Arial" w:cs="Arial" w:eastAsiaTheme="minorEastAsia"/>
          <w:sz w:val="20"/>
          <w:szCs w:val="20"/>
          <w:lang w:val="pt-BR" w:eastAsia="pt-BR" w:bidi="ar-SA"/>
        </w:rPr>
        <w:tab/>
      </w:r>
      <w:r>
        <w:rPr>
          <w:rStyle w:val="9"/>
          <w:rFonts w:ascii="Arial" w:hAnsi="Arial" w:cs="Arial"/>
          <w:spacing w:val="-4"/>
          <w:sz w:val="20"/>
          <w:szCs w:val="20"/>
          <w:lang w:val="pt-BR"/>
        </w:rPr>
        <w:t>PREÂMBULO</w:t>
      </w:r>
      <w:r>
        <w:rPr>
          <w:rFonts w:ascii="Arial" w:hAnsi="Arial" w:cs="Arial"/>
          <w:sz w:val="20"/>
          <w:szCs w:val="20"/>
          <w:lang w:val="pt-BR"/>
        </w:rPr>
        <w:tab/>
      </w:r>
      <w:r>
        <w:rPr>
          <w:rFonts w:ascii="Arial" w:hAnsi="Arial" w:cs="Arial"/>
          <w:sz w:val="20"/>
          <w:szCs w:val="20"/>
          <w:lang w:val="pt-BR"/>
        </w:rPr>
        <w:fldChar w:fldCharType="begin"/>
      </w:r>
      <w:r>
        <w:rPr>
          <w:rFonts w:ascii="Arial" w:hAnsi="Arial" w:cs="Arial"/>
          <w:sz w:val="20"/>
          <w:szCs w:val="20"/>
          <w:lang w:val="pt-BR"/>
        </w:rPr>
        <w:instrText xml:space="preserve"> PAGEREF _Toc151457779 \h </w:instrText>
      </w:r>
      <w:r>
        <w:rPr>
          <w:rFonts w:ascii="Arial" w:hAnsi="Arial" w:cs="Arial"/>
          <w:sz w:val="20"/>
          <w:szCs w:val="20"/>
          <w:lang w:val="pt-BR"/>
        </w:rPr>
        <w:fldChar w:fldCharType="separate"/>
      </w:r>
      <w:r>
        <w:rPr>
          <w:rFonts w:ascii="Arial" w:hAnsi="Arial" w:cs="Arial"/>
          <w:sz w:val="20"/>
          <w:szCs w:val="20"/>
          <w:lang w:val="pt-BR"/>
        </w:rPr>
        <w:t>3</w:t>
      </w:r>
      <w:r>
        <w:rPr>
          <w:rFonts w:ascii="Arial" w:hAnsi="Arial" w:cs="Arial"/>
          <w:sz w:val="20"/>
          <w:szCs w:val="20"/>
          <w:lang w:val="pt-BR"/>
        </w:rPr>
        <w:fldChar w:fldCharType="end"/>
      </w:r>
      <w:r>
        <w:rPr>
          <w:rFonts w:ascii="Arial" w:hAnsi="Arial" w:cs="Arial"/>
          <w:sz w:val="20"/>
          <w:szCs w:val="20"/>
          <w:lang w:val="pt-BR"/>
        </w:rPr>
        <w:fldChar w:fldCharType="end"/>
      </w:r>
    </w:p>
    <w:p w14:paraId="72DE0023">
      <w:pPr>
        <w:pStyle w:val="15"/>
        <w:tabs>
          <w:tab w:val="right" w:leader="dot" w:pos="10193"/>
        </w:tabs>
        <w:rPr>
          <w:rFonts w:ascii="Arial" w:hAnsi="Arial" w:cs="Arial" w:eastAsiaTheme="minorEastAsia"/>
          <w:sz w:val="20"/>
          <w:szCs w:val="20"/>
          <w:lang w:val="pt-BR" w:eastAsia="pt-BR" w:bidi="ar-SA"/>
        </w:rPr>
      </w:pPr>
      <w:r>
        <w:fldChar w:fldCharType="begin"/>
      </w:r>
      <w:r>
        <w:instrText xml:space="preserve"> HYPERLINK \l "_Toc151457780" </w:instrText>
      </w:r>
      <w:r>
        <w:fldChar w:fldCharType="separate"/>
      </w:r>
      <w:r>
        <w:rPr>
          <w:rStyle w:val="9"/>
          <w:rFonts w:ascii="Arial" w:hAnsi="Arial" w:eastAsia="Gill Sans MT" w:cs="Arial"/>
          <w:spacing w:val="-2"/>
          <w:w w:val="115"/>
          <w:sz w:val="20"/>
          <w:szCs w:val="20"/>
          <w:lang w:val="pt-BR"/>
        </w:rPr>
        <w:t>2.</w:t>
      </w:r>
      <w:r>
        <w:rPr>
          <w:rFonts w:ascii="Arial" w:hAnsi="Arial" w:cs="Arial" w:eastAsiaTheme="minorEastAsia"/>
          <w:sz w:val="20"/>
          <w:szCs w:val="20"/>
          <w:lang w:val="pt-BR" w:eastAsia="pt-BR" w:bidi="ar-SA"/>
        </w:rPr>
        <w:tab/>
      </w:r>
      <w:r>
        <w:rPr>
          <w:rStyle w:val="9"/>
          <w:rFonts w:ascii="Arial" w:hAnsi="Arial" w:eastAsia="Gill Sans MT" w:cs="Arial"/>
          <w:spacing w:val="-3"/>
          <w:sz w:val="20"/>
          <w:szCs w:val="20"/>
          <w:lang w:val="pt-BR"/>
        </w:rPr>
        <w:t>OBJETO</w:t>
      </w:r>
      <w:r>
        <w:rPr>
          <w:rFonts w:ascii="Arial" w:hAnsi="Arial" w:cs="Arial"/>
          <w:sz w:val="20"/>
          <w:szCs w:val="20"/>
          <w:lang w:val="pt-BR"/>
        </w:rPr>
        <w:tab/>
      </w:r>
      <w:r>
        <w:rPr>
          <w:rFonts w:ascii="Arial" w:hAnsi="Arial" w:cs="Arial"/>
          <w:sz w:val="20"/>
          <w:szCs w:val="20"/>
          <w:lang w:val="pt-BR"/>
        </w:rPr>
        <w:fldChar w:fldCharType="begin"/>
      </w:r>
      <w:r>
        <w:rPr>
          <w:rFonts w:ascii="Arial" w:hAnsi="Arial" w:cs="Arial"/>
          <w:sz w:val="20"/>
          <w:szCs w:val="20"/>
          <w:lang w:val="pt-BR"/>
        </w:rPr>
        <w:instrText xml:space="preserve"> PAGEREF _Toc151457780 \h </w:instrText>
      </w:r>
      <w:r>
        <w:rPr>
          <w:rFonts w:ascii="Arial" w:hAnsi="Arial" w:cs="Arial"/>
          <w:sz w:val="20"/>
          <w:szCs w:val="20"/>
          <w:lang w:val="pt-BR"/>
        </w:rPr>
        <w:fldChar w:fldCharType="separate"/>
      </w:r>
      <w:r>
        <w:rPr>
          <w:rFonts w:ascii="Arial" w:hAnsi="Arial" w:cs="Arial"/>
          <w:sz w:val="20"/>
          <w:szCs w:val="20"/>
          <w:lang w:val="pt-BR"/>
        </w:rPr>
        <w:t>3</w:t>
      </w:r>
      <w:r>
        <w:rPr>
          <w:rFonts w:ascii="Arial" w:hAnsi="Arial" w:cs="Arial"/>
          <w:sz w:val="20"/>
          <w:szCs w:val="20"/>
          <w:lang w:val="pt-BR"/>
        </w:rPr>
        <w:fldChar w:fldCharType="end"/>
      </w:r>
      <w:r>
        <w:rPr>
          <w:rFonts w:ascii="Arial" w:hAnsi="Arial" w:cs="Arial"/>
          <w:sz w:val="20"/>
          <w:szCs w:val="20"/>
          <w:lang w:val="pt-BR"/>
        </w:rPr>
        <w:fldChar w:fldCharType="end"/>
      </w:r>
    </w:p>
    <w:p w14:paraId="49B843DD">
      <w:pPr>
        <w:pStyle w:val="15"/>
        <w:tabs>
          <w:tab w:val="right" w:leader="dot" w:pos="10193"/>
        </w:tabs>
        <w:rPr>
          <w:rFonts w:ascii="Arial" w:hAnsi="Arial" w:cs="Arial" w:eastAsiaTheme="minorEastAsia"/>
          <w:sz w:val="20"/>
          <w:szCs w:val="20"/>
          <w:lang w:val="pt-BR" w:eastAsia="pt-BR" w:bidi="ar-SA"/>
        </w:rPr>
      </w:pPr>
      <w:r>
        <w:fldChar w:fldCharType="begin"/>
      </w:r>
      <w:r>
        <w:instrText xml:space="preserve"> HYPERLINK \l "_Toc151457781" </w:instrText>
      </w:r>
      <w:r>
        <w:fldChar w:fldCharType="separate"/>
      </w:r>
      <w:r>
        <w:rPr>
          <w:rStyle w:val="9"/>
          <w:rFonts w:ascii="Arial" w:hAnsi="Arial" w:eastAsia="Gill Sans MT" w:cs="Arial"/>
          <w:spacing w:val="-2"/>
          <w:w w:val="115"/>
          <w:sz w:val="20"/>
          <w:szCs w:val="20"/>
          <w:lang w:val="pt-BR"/>
        </w:rPr>
        <w:t>3.</w:t>
      </w:r>
      <w:r>
        <w:rPr>
          <w:rFonts w:ascii="Arial" w:hAnsi="Arial" w:cs="Arial" w:eastAsiaTheme="minorEastAsia"/>
          <w:sz w:val="20"/>
          <w:szCs w:val="20"/>
          <w:lang w:val="pt-BR" w:eastAsia="pt-BR" w:bidi="ar-SA"/>
        </w:rPr>
        <w:tab/>
      </w:r>
      <w:r>
        <w:rPr>
          <w:rStyle w:val="9"/>
          <w:rFonts w:ascii="Arial" w:hAnsi="Arial" w:eastAsia="Gill Sans MT" w:cs="Arial"/>
          <w:spacing w:val="-3"/>
          <w:sz w:val="20"/>
          <w:szCs w:val="20"/>
          <w:lang w:val="pt-BR"/>
        </w:rPr>
        <w:t>DO REGISTRO DE PREÇOS</w:t>
      </w:r>
      <w:r>
        <w:rPr>
          <w:rFonts w:ascii="Arial" w:hAnsi="Arial" w:cs="Arial"/>
          <w:sz w:val="20"/>
          <w:szCs w:val="20"/>
          <w:lang w:val="pt-BR"/>
        </w:rPr>
        <w:tab/>
      </w:r>
      <w:r>
        <w:rPr>
          <w:rFonts w:ascii="Arial" w:hAnsi="Arial" w:cs="Arial"/>
          <w:sz w:val="20"/>
          <w:szCs w:val="20"/>
          <w:lang w:val="pt-BR"/>
        </w:rPr>
        <w:fldChar w:fldCharType="begin"/>
      </w:r>
      <w:r>
        <w:rPr>
          <w:rFonts w:ascii="Arial" w:hAnsi="Arial" w:cs="Arial"/>
          <w:sz w:val="20"/>
          <w:szCs w:val="20"/>
          <w:lang w:val="pt-BR"/>
        </w:rPr>
        <w:instrText xml:space="preserve"> PAGEREF _Toc151457781 \h </w:instrText>
      </w:r>
      <w:r>
        <w:rPr>
          <w:rFonts w:ascii="Arial" w:hAnsi="Arial" w:cs="Arial"/>
          <w:sz w:val="20"/>
          <w:szCs w:val="20"/>
          <w:lang w:val="pt-BR"/>
        </w:rPr>
        <w:fldChar w:fldCharType="separate"/>
      </w:r>
      <w:r>
        <w:rPr>
          <w:rFonts w:ascii="Arial" w:hAnsi="Arial" w:cs="Arial"/>
          <w:sz w:val="20"/>
          <w:szCs w:val="20"/>
          <w:lang w:val="pt-BR"/>
        </w:rPr>
        <w:t>4</w:t>
      </w:r>
      <w:r>
        <w:rPr>
          <w:rFonts w:ascii="Arial" w:hAnsi="Arial" w:cs="Arial"/>
          <w:sz w:val="20"/>
          <w:szCs w:val="20"/>
          <w:lang w:val="pt-BR"/>
        </w:rPr>
        <w:fldChar w:fldCharType="end"/>
      </w:r>
      <w:r>
        <w:rPr>
          <w:rFonts w:ascii="Arial" w:hAnsi="Arial" w:cs="Arial"/>
          <w:sz w:val="20"/>
          <w:szCs w:val="20"/>
          <w:lang w:val="pt-BR"/>
        </w:rPr>
        <w:fldChar w:fldCharType="end"/>
      </w:r>
    </w:p>
    <w:p w14:paraId="3D104695">
      <w:pPr>
        <w:pStyle w:val="15"/>
        <w:tabs>
          <w:tab w:val="right" w:leader="dot" w:pos="10193"/>
        </w:tabs>
        <w:rPr>
          <w:rFonts w:ascii="Arial" w:hAnsi="Arial" w:cs="Arial" w:eastAsiaTheme="minorEastAsia"/>
          <w:sz w:val="20"/>
          <w:szCs w:val="20"/>
          <w:lang w:val="pt-BR" w:eastAsia="pt-BR" w:bidi="ar-SA"/>
        </w:rPr>
      </w:pPr>
      <w:r>
        <w:fldChar w:fldCharType="begin"/>
      </w:r>
      <w:r>
        <w:instrText xml:space="preserve"> HYPERLINK \l "_Toc151457782" </w:instrText>
      </w:r>
      <w:r>
        <w:fldChar w:fldCharType="separate"/>
      </w:r>
      <w:r>
        <w:rPr>
          <w:rStyle w:val="9"/>
          <w:rFonts w:ascii="Arial" w:hAnsi="Arial" w:eastAsia="Gill Sans MT" w:cs="Arial"/>
          <w:spacing w:val="-2"/>
          <w:w w:val="115"/>
          <w:sz w:val="20"/>
          <w:szCs w:val="20"/>
          <w:lang w:val="pt-BR"/>
        </w:rPr>
        <w:t>4.</w:t>
      </w:r>
      <w:r>
        <w:rPr>
          <w:rFonts w:ascii="Arial" w:hAnsi="Arial" w:cs="Arial" w:eastAsiaTheme="minorEastAsia"/>
          <w:sz w:val="20"/>
          <w:szCs w:val="20"/>
          <w:lang w:val="pt-BR" w:eastAsia="pt-BR" w:bidi="ar-SA"/>
        </w:rPr>
        <w:tab/>
      </w:r>
      <w:r>
        <w:rPr>
          <w:rStyle w:val="9"/>
          <w:rFonts w:ascii="Arial" w:hAnsi="Arial" w:eastAsia="Gill Sans MT" w:cs="Arial"/>
          <w:spacing w:val="-3"/>
          <w:sz w:val="20"/>
          <w:szCs w:val="20"/>
          <w:lang w:val="pt-BR"/>
        </w:rPr>
        <w:t>PREÇO ESTIMADO</w:t>
      </w:r>
      <w:r>
        <w:rPr>
          <w:rFonts w:ascii="Arial" w:hAnsi="Arial" w:cs="Arial"/>
          <w:sz w:val="20"/>
          <w:szCs w:val="20"/>
          <w:lang w:val="pt-BR"/>
        </w:rPr>
        <w:tab/>
      </w:r>
      <w:r>
        <w:rPr>
          <w:rFonts w:ascii="Arial" w:hAnsi="Arial" w:cs="Arial"/>
          <w:sz w:val="20"/>
          <w:szCs w:val="20"/>
          <w:lang w:val="pt-BR"/>
        </w:rPr>
        <w:fldChar w:fldCharType="begin"/>
      </w:r>
      <w:r>
        <w:rPr>
          <w:rFonts w:ascii="Arial" w:hAnsi="Arial" w:cs="Arial"/>
          <w:sz w:val="20"/>
          <w:szCs w:val="20"/>
          <w:lang w:val="pt-BR"/>
        </w:rPr>
        <w:instrText xml:space="preserve"> PAGEREF _Toc151457782 \h </w:instrText>
      </w:r>
      <w:r>
        <w:rPr>
          <w:rFonts w:ascii="Arial" w:hAnsi="Arial" w:cs="Arial"/>
          <w:sz w:val="20"/>
          <w:szCs w:val="20"/>
          <w:lang w:val="pt-BR"/>
        </w:rPr>
        <w:fldChar w:fldCharType="separate"/>
      </w:r>
      <w:r>
        <w:rPr>
          <w:rFonts w:ascii="Arial" w:hAnsi="Arial" w:cs="Arial"/>
          <w:sz w:val="20"/>
          <w:szCs w:val="20"/>
          <w:lang w:val="pt-BR"/>
        </w:rPr>
        <w:t>4</w:t>
      </w:r>
      <w:r>
        <w:rPr>
          <w:rFonts w:ascii="Arial" w:hAnsi="Arial" w:cs="Arial"/>
          <w:sz w:val="20"/>
          <w:szCs w:val="20"/>
          <w:lang w:val="pt-BR"/>
        </w:rPr>
        <w:fldChar w:fldCharType="end"/>
      </w:r>
      <w:r>
        <w:rPr>
          <w:rFonts w:ascii="Arial" w:hAnsi="Arial" w:cs="Arial"/>
          <w:sz w:val="20"/>
          <w:szCs w:val="20"/>
          <w:lang w:val="pt-BR"/>
        </w:rPr>
        <w:fldChar w:fldCharType="end"/>
      </w:r>
    </w:p>
    <w:p w14:paraId="34709F0B">
      <w:pPr>
        <w:pStyle w:val="15"/>
        <w:tabs>
          <w:tab w:val="right" w:leader="dot" w:pos="10193"/>
        </w:tabs>
        <w:rPr>
          <w:rFonts w:ascii="Arial" w:hAnsi="Arial" w:cs="Arial" w:eastAsiaTheme="minorEastAsia"/>
          <w:sz w:val="20"/>
          <w:szCs w:val="20"/>
          <w:lang w:val="pt-BR" w:eastAsia="pt-BR" w:bidi="ar-SA"/>
        </w:rPr>
      </w:pPr>
      <w:r>
        <w:fldChar w:fldCharType="begin"/>
      </w:r>
      <w:r>
        <w:instrText xml:space="preserve"> HYPERLINK \l "_Toc151457783" </w:instrText>
      </w:r>
      <w:r>
        <w:fldChar w:fldCharType="separate"/>
      </w:r>
      <w:r>
        <w:rPr>
          <w:rStyle w:val="9"/>
          <w:rFonts w:ascii="Arial" w:hAnsi="Arial" w:eastAsia="Gill Sans MT" w:cs="Arial"/>
          <w:spacing w:val="-2"/>
          <w:w w:val="115"/>
          <w:sz w:val="20"/>
          <w:szCs w:val="20"/>
          <w:lang w:val="pt-BR"/>
        </w:rPr>
        <w:t>5.</w:t>
      </w:r>
      <w:r>
        <w:rPr>
          <w:rFonts w:ascii="Arial" w:hAnsi="Arial" w:cs="Arial" w:eastAsiaTheme="minorEastAsia"/>
          <w:sz w:val="20"/>
          <w:szCs w:val="20"/>
          <w:lang w:val="pt-BR" w:eastAsia="pt-BR" w:bidi="ar-SA"/>
        </w:rPr>
        <w:tab/>
      </w:r>
      <w:r>
        <w:rPr>
          <w:rStyle w:val="9"/>
          <w:rFonts w:ascii="Arial" w:hAnsi="Arial" w:eastAsia="Gill Sans MT" w:cs="Arial"/>
          <w:spacing w:val="-3"/>
          <w:sz w:val="20"/>
          <w:szCs w:val="20"/>
          <w:lang w:val="pt-BR"/>
        </w:rPr>
        <w:t>CONDIÇÕES DE PARTICIPAÇÃO</w:t>
      </w:r>
      <w:r>
        <w:rPr>
          <w:rFonts w:ascii="Arial" w:hAnsi="Arial" w:cs="Arial"/>
          <w:sz w:val="20"/>
          <w:szCs w:val="20"/>
          <w:lang w:val="pt-BR"/>
        </w:rPr>
        <w:tab/>
      </w:r>
      <w:r>
        <w:rPr>
          <w:rFonts w:ascii="Arial" w:hAnsi="Arial" w:cs="Arial"/>
          <w:sz w:val="20"/>
          <w:szCs w:val="20"/>
          <w:lang w:val="pt-BR"/>
        </w:rPr>
        <w:fldChar w:fldCharType="begin"/>
      </w:r>
      <w:r>
        <w:rPr>
          <w:rFonts w:ascii="Arial" w:hAnsi="Arial" w:cs="Arial"/>
          <w:sz w:val="20"/>
          <w:szCs w:val="20"/>
          <w:lang w:val="pt-BR"/>
        </w:rPr>
        <w:instrText xml:space="preserve"> PAGEREF _Toc151457783 \h </w:instrText>
      </w:r>
      <w:r>
        <w:rPr>
          <w:rFonts w:ascii="Arial" w:hAnsi="Arial" w:cs="Arial"/>
          <w:sz w:val="20"/>
          <w:szCs w:val="20"/>
          <w:lang w:val="pt-BR"/>
        </w:rPr>
        <w:fldChar w:fldCharType="separate"/>
      </w:r>
      <w:r>
        <w:rPr>
          <w:rFonts w:ascii="Arial" w:hAnsi="Arial" w:cs="Arial"/>
          <w:sz w:val="20"/>
          <w:szCs w:val="20"/>
          <w:lang w:val="pt-BR"/>
        </w:rPr>
        <w:t>5</w:t>
      </w:r>
      <w:r>
        <w:rPr>
          <w:rFonts w:ascii="Arial" w:hAnsi="Arial" w:cs="Arial"/>
          <w:sz w:val="20"/>
          <w:szCs w:val="20"/>
          <w:lang w:val="pt-BR"/>
        </w:rPr>
        <w:fldChar w:fldCharType="end"/>
      </w:r>
      <w:r>
        <w:rPr>
          <w:rFonts w:ascii="Arial" w:hAnsi="Arial" w:cs="Arial"/>
          <w:sz w:val="20"/>
          <w:szCs w:val="20"/>
          <w:lang w:val="pt-BR"/>
        </w:rPr>
        <w:fldChar w:fldCharType="end"/>
      </w:r>
    </w:p>
    <w:p w14:paraId="5F922576">
      <w:pPr>
        <w:pStyle w:val="15"/>
        <w:tabs>
          <w:tab w:val="right" w:leader="dot" w:pos="10193"/>
        </w:tabs>
        <w:rPr>
          <w:rFonts w:ascii="Arial" w:hAnsi="Arial" w:cs="Arial" w:eastAsiaTheme="minorEastAsia"/>
          <w:sz w:val="20"/>
          <w:szCs w:val="20"/>
          <w:lang w:val="pt-BR" w:eastAsia="pt-BR" w:bidi="ar-SA"/>
        </w:rPr>
      </w:pPr>
      <w:r>
        <w:fldChar w:fldCharType="begin"/>
      </w:r>
      <w:r>
        <w:instrText xml:space="preserve"> HYPERLINK \l "_Toc151457784" </w:instrText>
      </w:r>
      <w:r>
        <w:fldChar w:fldCharType="separate"/>
      </w:r>
      <w:r>
        <w:rPr>
          <w:rStyle w:val="9"/>
          <w:rFonts w:ascii="Arial" w:hAnsi="Arial" w:cs="Arial"/>
          <w:spacing w:val="-2"/>
          <w:w w:val="115"/>
          <w:sz w:val="20"/>
          <w:szCs w:val="20"/>
          <w:lang w:val="pt-BR"/>
        </w:rPr>
        <w:t>6.</w:t>
      </w:r>
      <w:r>
        <w:rPr>
          <w:rFonts w:ascii="Arial" w:hAnsi="Arial" w:cs="Arial" w:eastAsiaTheme="minorEastAsia"/>
          <w:sz w:val="20"/>
          <w:szCs w:val="20"/>
          <w:lang w:val="pt-BR" w:eastAsia="pt-BR" w:bidi="ar-SA"/>
        </w:rPr>
        <w:tab/>
      </w:r>
      <w:r>
        <w:rPr>
          <w:rStyle w:val="9"/>
          <w:rFonts w:ascii="Arial" w:hAnsi="Arial" w:cs="Arial"/>
          <w:w w:val="110"/>
          <w:sz w:val="20"/>
          <w:szCs w:val="20"/>
          <w:lang w:val="pt-BR"/>
        </w:rPr>
        <w:t>DA PARTICIPAÇÃO DE CONSÓRCIOS DE EMPRESAS.</w:t>
      </w:r>
      <w:r>
        <w:rPr>
          <w:rFonts w:ascii="Arial" w:hAnsi="Arial" w:cs="Arial"/>
          <w:sz w:val="20"/>
          <w:szCs w:val="20"/>
          <w:lang w:val="pt-BR"/>
        </w:rPr>
        <w:tab/>
      </w:r>
      <w:r>
        <w:rPr>
          <w:rFonts w:ascii="Arial" w:hAnsi="Arial" w:cs="Arial"/>
          <w:sz w:val="20"/>
          <w:szCs w:val="20"/>
          <w:lang w:val="pt-BR"/>
        </w:rPr>
        <w:fldChar w:fldCharType="begin"/>
      </w:r>
      <w:r>
        <w:rPr>
          <w:rFonts w:ascii="Arial" w:hAnsi="Arial" w:cs="Arial"/>
          <w:sz w:val="20"/>
          <w:szCs w:val="20"/>
          <w:lang w:val="pt-BR"/>
        </w:rPr>
        <w:instrText xml:space="preserve"> PAGEREF _Toc151457784 \h </w:instrText>
      </w:r>
      <w:r>
        <w:rPr>
          <w:rFonts w:ascii="Arial" w:hAnsi="Arial" w:cs="Arial"/>
          <w:sz w:val="20"/>
          <w:szCs w:val="20"/>
          <w:lang w:val="pt-BR"/>
        </w:rPr>
        <w:fldChar w:fldCharType="separate"/>
      </w:r>
      <w:r>
        <w:rPr>
          <w:rFonts w:ascii="Arial" w:hAnsi="Arial" w:cs="Arial"/>
          <w:sz w:val="20"/>
          <w:szCs w:val="20"/>
          <w:lang w:val="pt-BR"/>
        </w:rPr>
        <w:t>7</w:t>
      </w:r>
      <w:r>
        <w:rPr>
          <w:rFonts w:ascii="Arial" w:hAnsi="Arial" w:cs="Arial"/>
          <w:sz w:val="20"/>
          <w:szCs w:val="20"/>
          <w:lang w:val="pt-BR"/>
        </w:rPr>
        <w:fldChar w:fldCharType="end"/>
      </w:r>
      <w:r>
        <w:rPr>
          <w:rFonts w:ascii="Arial" w:hAnsi="Arial" w:cs="Arial"/>
          <w:sz w:val="20"/>
          <w:szCs w:val="20"/>
          <w:lang w:val="pt-BR"/>
        </w:rPr>
        <w:fldChar w:fldCharType="end"/>
      </w:r>
    </w:p>
    <w:p w14:paraId="04B4101D">
      <w:pPr>
        <w:pStyle w:val="15"/>
        <w:tabs>
          <w:tab w:val="right" w:leader="dot" w:pos="10193"/>
        </w:tabs>
        <w:rPr>
          <w:rFonts w:ascii="Arial" w:hAnsi="Arial" w:cs="Arial" w:eastAsiaTheme="minorEastAsia"/>
          <w:sz w:val="20"/>
          <w:szCs w:val="20"/>
          <w:lang w:val="pt-BR" w:eastAsia="pt-BR" w:bidi="ar-SA"/>
        </w:rPr>
      </w:pPr>
      <w:r>
        <w:fldChar w:fldCharType="begin"/>
      </w:r>
      <w:r>
        <w:instrText xml:space="preserve"> HYPERLINK \l "_Toc151457785" </w:instrText>
      </w:r>
      <w:r>
        <w:fldChar w:fldCharType="separate"/>
      </w:r>
      <w:r>
        <w:rPr>
          <w:rStyle w:val="9"/>
          <w:rFonts w:ascii="Arial" w:hAnsi="Arial" w:cs="Arial"/>
          <w:spacing w:val="-2"/>
          <w:w w:val="115"/>
          <w:sz w:val="20"/>
          <w:szCs w:val="20"/>
          <w:lang w:val="pt-BR"/>
        </w:rPr>
        <w:t>7.</w:t>
      </w:r>
      <w:r>
        <w:rPr>
          <w:rFonts w:ascii="Arial" w:hAnsi="Arial" w:cs="Arial" w:eastAsiaTheme="minorEastAsia"/>
          <w:sz w:val="20"/>
          <w:szCs w:val="20"/>
          <w:lang w:val="pt-BR" w:eastAsia="pt-BR" w:bidi="ar-SA"/>
        </w:rPr>
        <w:tab/>
      </w:r>
      <w:r>
        <w:rPr>
          <w:rStyle w:val="9"/>
          <w:rFonts w:ascii="Arial" w:hAnsi="Arial" w:cs="Arial"/>
          <w:w w:val="110"/>
          <w:sz w:val="20"/>
          <w:szCs w:val="20"/>
          <w:lang w:val="pt-BR"/>
        </w:rPr>
        <w:t>DA PARTICIPAÇÃO DE COOPERATIVAS DE EMPRESAS</w:t>
      </w:r>
      <w:r>
        <w:rPr>
          <w:rFonts w:ascii="Arial" w:hAnsi="Arial" w:cs="Arial"/>
          <w:sz w:val="20"/>
          <w:szCs w:val="20"/>
          <w:lang w:val="pt-BR"/>
        </w:rPr>
        <w:tab/>
      </w:r>
      <w:r>
        <w:rPr>
          <w:rFonts w:ascii="Arial" w:hAnsi="Arial" w:cs="Arial"/>
          <w:sz w:val="20"/>
          <w:szCs w:val="20"/>
          <w:lang w:val="pt-BR"/>
        </w:rPr>
        <w:fldChar w:fldCharType="begin"/>
      </w:r>
      <w:r>
        <w:rPr>
          <w:rFonts w:ascii="Arial" w:hAnsi="Arial" w:cs="Arial"/>
          <w:sz w:val="20"/>
          <w:szCs w:val="20"/>
          <w:lang w:val="pt-BR"/>
        </w:rPr>
        <w:instrText xml:space="preserve"> PAGEREF _Toc151457785 \h </w:instrText>
      </w:r>
      <w:r>
        <w:rPr>
          <w:rFonts w:ascii="Arial" w:hAnsi="Arial" w:cs="Arial"/>
          <w:sz w:val="20"/>
          <w:szCs w:val="20"/>
          <w:lang w:val="pt-BR"/>
        </w:rPr>
        <w:fldChar w:fldCharType="separate"/>
      </w:r>
      <w:r>
        <w:rPr>
          <w:rFonts w:ascii="Arial" w:hAnsi="Arial" w:cs="Arial"/>
          <w:sz w:val="20"/>
          <w:szCs w:val="20"/>
          <w:lang w:val="pt-BR"/>
        </w:rPr>
        <w:t>8</w:t>
      </w:r>
      <w:r>
        <w:rPr>
          <w:rFonts w:ascii="Arial" w:hAnsi="Arial" w:cs="Arial"/>
          <w:sz w:val="20"/>
          <w:szCs w:val="20"/>
          <w:lang w:val="pt-BR"/>
        </w:rPr>
        <w:fldChar w:fldCharType="end"/>
      </w:r>
      <w:r>
        <w:rPr>
          <w:rFonts w:ascii="Arial" w:hAnsi="Arial" w:cs="Arial"/>
          <w:sz w:val="20"/>
          <w:szCs w:val="20"/>
          <w:lang w:val="pt-BR"/>
        </w:rPr>
        <w:fldChar w:fldCharType="end"/>
      </w:r>
    </w:p>
    <w:p w14:paraId="0ADADFC3">
      <w:pPr>
        <w:pStyle w:val="15"/>
        <w:tabs>
          <w:tab w:val="right" w:leader="dot" w:pos="10193"/>
        </w:tabs>
        <w:rPr>
          <w:rFonts w:ascii="Arial" w:hAnsi="Arial" w:cs="Arial" w:eastAsiaTheme="minorEastAsia"/>
          <w:sz w:val="20"/>
          <w:szCs w:val="20"/>
          <w:lang w:val="pt-BR" w:eastAsia="pt-BR" w:bidi="ar-SA"/>
        </w:rPr>
      </w:pPr>
      <w:r>
        <w:fldChar w:fldCharType="begin"/>
      </w:r>
      <w:r>
        <w:instrText xml:space="preserve"> HYPERLINK \l "_Toc151457786" </w:instrText>
      </w:r>
      <w:r>
        <w:fldChar w:fldCharType="separate"/>
      </w:r>
      <w:r>
        <w:rPr>
          <w:rStyle w:val="9"/>
          <w:rFonts w:ascii="Arial" w:hAnsi="Arial" w:cs="Arial"/>
          <w:spacing w:val="-2"/>
          <w:w w:val="115"/>
          <w:sz w:val="20"/>
          <w:szCs w:val="20"/>
          <w:lang w:val="pt-BR"/>
        </w:rPr>
        <w:t>8.</w:t>
      </w:r>
      <w:r>
        <w:rPr>
          <w:rFonts w:ascii="Arial" w:hAnsi="Arial" w:cs="Arial" w:eastAsiaTheme="minorEastAsia"/>
          <w:sz w:val="20"/>
          <w:szCs w:val="20"/>
          <w:lang w:val="pt-BR" w:eastAsia="pt-BR" w:bidi="ar-SA"/>
        </w:rPr>
        <w:tab/>
      </w:r>
      <w:r>
        <w:rPr>
          <w:rStyle w:val="9"/>
          <w:rFonts w:ascii="Arial" w:hAnsi="Arial" w:cs="Arial"/>
          <w:w w:val="110"/>
          <w:sz w:val="20"/>
          <w:szCs w:val="20"/>
          <w:lang w:val="pt-BR"/>
        </w:rPr>
        <w:t>VEDAÇÃO À PARTICIPAÇÃO NO CERTAME</w:t>
      </w:r>
      <w:r>
        <w:rPr>
          <w:rFonts w:ascii="Arial" w:hAnsi="Arial" w:cs="Arial"/>
          <w:sz w:val="20"/>
          <w:szCs w:val="20"/>
          <w:lang w:val="pt-BR"/>
        </w:rPr>
        <w:tab/>
      </w:r>
      <w:r>
        <w:rPr>
          <w:rFonts w:ascii="Arial" w:hAnsi="Arial" w:cs="Arial"/>
          <w:sz w:val="20"/>
          <w:szCs w:val="20"/>
          <w:lang w:val="pt-BR"/>
        </w:rPr>
        <w:fldChar w:fldCharType="begin"/>
      </w:r>
      <w:r>
        <w:rPr>
          <w:rFonts w:ascii="Arial" w:hAnsi="Arial" w:cs="Arial"/>
          <w:sz w:val="20"/>
          <w:szCs w:val="20"/>
          <w:lang w:val="pt-BR"/>
        </w:rPr>
        <w:instrText xml:space="preserve"> PAGEREF _Toc151457786 \h </w:instrText>
      </w:r>
      <w:r>
        <w:rPr>
          <w:rFonts w:ascii="Arial" w:hAnsi="Arial" w:cs="Arial"/>
          <w:sz w:val="20"/>
          <w:szCs w:val="20"/>
          <w:lang w:val="pt-BR"/>
        </w:rPr>
        <w:fldChar w:fldCharType="separate"/>
      </w:r>
      <w:r>
        <w:rPr>
          <w:rFonts w:ascii="Arial" w:hAnsi="Arial" w:cs="Arial"/>
          <w:sz w:val="20"/>
          <w:szCs w:val="20"/>
          <w:lang w:val="pt-BR"/>
        </w:rPr>
        <w:t>9</w:t>
      </w:r>
      <w:r>
        <w:rPr>
          <w:rFonts w:ascii="Arial" w:hAnsi="Arial" w:cs="Arial"/>
          <w:sz w:val="20"/>
          <w:szCs w:val="20"/>
          <w:lang w:val="pt-BR"/>
        </w:rPr>
        <w:fldChar w:fldCharType="end"/>
      </w:r>
      <w:r>
        <w:rPr>
          <w:rFonts w:ascii="Arial" w:hAnsi="Arial" w:cs="Arial"/>
          <w:sz w:val="20"/>
          <w:szCs w:val="20"/>
          <w:lang w:val="pt-BR"/>
        </w:rPr>
        <w:fldChar w:fldCharType="end"/>
      </w:r>
    </w:p>
    <w:p w14:paraId="09C6EA4D">
      <w:pPr>
        <w:pStyle w:val="15"/>
        <w:tabs>
          <w:tab w:val="right" w:leader="dot" w:pos="10193"/>
        </w:tabs>
        <w:rPr>
          <w:rFonts w:ascii="Arial" w:hAnsi="Arial" w:cs="Arial" w:eastAsiaTheme="minorEastAsia"/>
          <w:sz w:val="20"/>
          <w:szCs w:val="20"/>
          <w:lang w:val="pt-BR" w:eastAsia="pt-BR" w:bidi="ar-SA"/>
        </w:rPr>
      </w:pPr>
      <w:r>
        <w:fldChar w:fldCharType="begin"/>
      </w:r>
      <w:r>
        <w:instrText xml:space="preserve"> HYPERLINK \l "_Toc151457787" </w:instrText>
      </w:r>
      <w:r>
        <w:fldChar w:fldCharType="separate"/>
      </w:r>
      <w:r>
        <w:rPr>
          <w:rStyle w:val="9"/>
          <w:rFonts w:ascii="Arial" w:hAnsi="Arial" w:eastAsia="Gill Sans MT" w:cs="Arial"/>
          <w:spacing w:val="-2"/>
          <w:w w:val="115"/>
          <w:sz w:val="20"/>
          <w:szCs w:val="20"/>
          <w:lang w:val="pt-BR"/>
        </w:rPr>
        <w:t>9.</w:t>
      </w:r>
      <w:r>
        <w:rPr>
          <w:rFonts w:ascii="Arial" w:hAnsi="Arial" w:cs="Arial" w:eastAsiaTheme="minorEastAsia"/>
          <w:sz w:val="20"/>
          <w:szCs w:val="20"/>
          <w:lang w:val="pt-BR" w:eastAsia="pt-BR" w:bidi="ar-SA"/>
        </w:rPr>
        <w:tab/>
      </w:r>
      <w:r>
        <w:rPr>
          <w:rStyle w:val="9"/>
          <w:rFonts w:ascii="Arial" w:hAnsi="Arial" w:eastAsia="Gill Sans MT" w:cs="Arial"/>
          <w:spacing w:val="-3"/>
          <w:sz w:val="20"/>
          <w:szCs w:val="20"/>
          <w:lang w:val="pt-BR"/>
        </w:rPr>
        <w:t>ENVIO DAS PROPOSTAS DE PREÇOS</w:t>
      </w:r>
      <w:r>
        <w:rPr>
          <w:rFonts w:ascii="Arial" w:hAnsi="Arial" w:cs="Arial"/>
          <w:sz w:val="20"/>
          <w:szCs w:val="20"/>
          <w:lang w:val="pt-BR"/>
        </w:rPr>
        <w:tab/>
      </w:r>
      <w:r>
        <w:rPr>
          <w:rFonts w:ascii="Arial" w:hAnsi="Arial" w:cs="Arial"/>
          <w:sz w:val="20"/>
          <w:szCs w:val="20"/>
          <w:lang w:val="pt-BR"/>
        </w:rPr>
        <w:fldChar w:fldCharType="begin"/>
      </w:r>
      <w:r>
        <w:rPr>
          <w:rFonts w:ascii="Arial" w:hAnsi="Arial" w:cs="Arial"/>
          <w:sz w:val="20"/>
          <w:szCs w:val="20"/>
          <w:lang w:val="pt-BR"/>
        </w:rPr>
        <w:instrText xml:space="preserve"> PAGEREF _Toc151457787 \h </w:instrText>
      </w:r>
      <w:r>
        <w:rPr>
          <w:rFonts w:ascii="Arial" w:hAnsi="Arial" w:cs="Arial"/>
          <w:sz w:val="20"/>
          <w:szCs w:val="20"/>
          <w:lang w:val="pt-BR"/>
        </w:rPr>
        <w:fldChar w:fldCharType="separate"/>
      </w:r>
      <w:r>
        <w:rPr>
          <w:rFonts w:ascii="Arial" w:hAnsi="Arial" w:cs="Arial"/>
          <w:sz w:val="20"/>
          <w:szCs w:val="20"/>
          <w:lang w:val="pt-BR"/>
        </w:rPr>
        <w:t>11</w:t>
      </w:r>
      <w:r>
        <w:rPr>
          <w:rFonts w:ascii="Arial" w:hAnsi="Arial" w:cs="Arial"/>
          <w:sz w:val="20"/>
          <w:szCs w:val="20"/>
          <w:lang w:val="pt-BR"/>
        </w:rPr>
        <w:fldChar w:fldCharType="end"/>
      </w:r>
      <w:r>
        <w:rPr>
          <w:rFonts w:ascii="Arial" w:hAnsi="Arial" w:cs="Arial"/>
          <w:sz w:val="20"/>
          <w:szCs w:val="20"/>
          <w:lang w:val="pt-BR"/>
        </w:rPr>
        <w:fldChar w:fldCharType="end"/>
      </w:r>
    </w:p>
    <w:p w14:paraId="2F1730C4">
      <w:pPr>
        <w:pStyle w:val="15"/>
        <w:tabs>
          <w:tab w:val="left" w:pos="880"/>
          <w:tab w:val="right" w:leader="dot" w:pos="10193"/>
        </w:tabs>
        <w:rPr>
          <w:rFonts w:ascii="Arial" w:hAnsi="Arial" w:cs="Arial" w:eastAsiaTheme="minorEastAsia"/>
          <w:sz w:val="20"/>
          <w:szCs w:val="20"/>
          <w:lang w:val="pt-BR" w:eastAsia="pt-BR" w:bidi="ar-SA"/>
        </w:rPr>
      </w:pPr>
      <w:r>
        <w:fldChar w:fldCharType="begin"/>
      </w:r>
      <w:r>
        <w:instrText xml:space="preserve"> HYPERLINK \l "_Toc151457788" </w:instrText>
      </w:r>
      <w:r>
        <w:fldChar w:fldCharType="separate"/>
      </w:r>
      <w:r>
        <w:rPr>
          <w:rStyle w:val="9"/>
          <w:rFonts w:ascii="Arial" w:hAnsi="Arial" w:eastAsia="Gill Sans MT" w:cs="Arial"/>
          <w:spacing w:val="-2"/>
          <w:w w:val="115"/>
          <w:sz w:val="20"/>
          <w:szCs w:val="20"/>
          <w:lang w:val="pt-BR"/>
        </w:rPr>
        <w:t>10.</w:t>
      </w:r>
      <w:r>
        <w:rPr>
          <w:rFonts w:ascii="Arial" w:hAnsi="Arial" w:cs="Arial" w:eastAsiaTheme="minorEastAsia"/>
          <w:sz w:val="20"/>
          <w:szCs w:val="20"/>
          <w:lang w:val="pt-BR" w:eastAsia="pt-BR" w:bidi="ar-SA"/>
        </w:rPr>
        <w:tab/>
      </w:r>
      <w:r>
        <w:rPr>
          <w:rStyle w:val="9"/>
          <w:rFonts w:ascii="Arial" w:hAnsi="Arial" w:eastAsia="Gill Sans MT" w:cs="Arial"/>
          <w:spacing w:val="-3"/>
          <w:sz w:val="20"/>
          <w:szCs w:val="20"/>
          <w:lang w:val="pt-BR"/>
        </w:rPr>
        <w:t>DO PREENCHIMENTO DA PROPOSTA</w:t>
      </w:r>
      <w:r>
        <w:rPr>
          <w:rFonts w:ascii="Arial" w:hAnsi="Arial" w:cs="Arial"/>
          <w:sz w:val="20"/>
          <w:szCs w:val="20"/>
          <w:lang w:val="pt-BR"/>
        </w:rPr>
        <w:tab/>
      </w:r>
      <w:r>
        <w:rPr>
          <w:rFonts w:ascii="Arial" w:hAnsi="Arial" w:cs="Arial"/>
          <w:sz w:val="20"/>
          <w:szCs w:val="20"/>
          <w:lang w:val="pt-BR"/>
        </w:rPr>
        <w:fldChar w:fldCharType="begin"/>
      </w:r>
      <w:r>
        <w:rPr>
          <w:rFonts w:ascii="Arial" w:hAnsi="Arial" w:cs="Arial"/>
          <w:sz w:val="20"/>
          <w:szCs w:val="20"/>
          <w:lang w:val="pt-BR"/>
        </w:rPr>
        <w:instrText xml:space="preserve"> PAGEREF _Toc151457788 \h </w:instrText>
      </w:r>
      <w:r>
        <w:rPr>
          <w:rFonts w:ascii="Arial" w:hAnsi="Arial" w:cs="Arial"/>
          <w:sz w:val="20"/>
          <w:szCs w:val="20"/>
          <w:lang w:val="pt-BR"/>
        </w:rPr>
        <w:fldChar w:fldCharType="separate"/>
      </w:r>
      <w:r>
        <w:rPr>
          <w:rFonts w:ascii="Arial" w:hAnsi="Arial" w:cs="Arial"/>
          <w:sz w:val="20"/>
          <w:szCs w:val="20"/>
          <w:lang w:val="pt-BR"/>
        </w:rPr>
        <w:t>13</w:t>
      </w:r>
      <w:r>
        <w:rPr>
          <w:rFonts w:ascii="Arial" w:hAnsi="Arial" w:cs="Arial"/>
          <w:sz w:val="20"/>
          <w:szCs w:val="20"/>
          <w:lang w:val="pt-BR"/>
        </w:rPr>
        <w:fldChar w:fldCharType="end"/>
      </w:r>
      <w:r>
        <w:rPr>
          <w:rFonts w:ascii="Arial" w:hAnsi="Arial" w:cs="Arial"/>
          <w:sz w:val="20"/>
          <w:szCs w:val="20"/>
          <w:lang w:val="pt-BR"/>
        </w:rPr>
        <w:fldChar w:fldCharType="end"/>
      </w:r>
    </w:p>
    <w:p w14:paraId="27B689CD">
      <w:pPr>
        <w:pStyle w:val="15"/>
        <w:tabs>
          <w:tab w:val="left" w:pos="880"/>
          <w:tab w:val="right" w:leader="dot" w:pos="10193"/>
        </w:tabs>
        <w:rPr>
          <w:rFonts w:ascii="Arial" w:hAnsi="Arial" w:cs="Arial" w:eastAsiaTheme="minorEastAsia"/>
          <w:sz w:val="20"/>
          <w:szCs w:val="20"/>
          <w:lang w:val="pt-BR" w:eastAsia="pt-BR" w:bidi="ar-SA"/>
        </w:rPr>
      </w:pPr>
      <w:r>
        <w:fldChar w:fldCharType="begin"/>
      </w:r>
      <w:r>
        <w:instrText xml:space="preserve"> HYPERLINK \l "_Toc151457789" </w:instrText>
      </w:r>
      <w:r>
        <w:fldChar w:fldCharType="separate"/>
      </w:r>
      <w:r>
        <w:rPr>
          <w:rStyle w:val="9"/>
          <w:rFonts w:ascii="Arial" w:hAnsi="Arial" w:eastAsia="Gill Sans MT" w:cs="Arial"/>
          <w:spacing w:val="-2"/>
          <w:w w:val="115"/>
          <w:sz w:val="20"/>
          <w:szCs w:val="20"/>
          <w:lang w:val="pt-BR"/>
        </w:rPr>
        <w:t>11.</w:t>
      </w:r>
      <w:r>
        <w:rPr>
          <w:rFonts w:ascii="Arial" w:hAnsi="Arial" w:cs="Arial" w:eastAsiaTheme="minorEastAsia"/>
          <w:sz w:val="20"/>
          <w:szCs w:val="20"/>
          <w:lang w:val="pt-BR" w:eastAsia="pt-BR" w:bidi="ar-SA"/>
        </w:rPr>
        <w:tab/>
      </w:r>
      <w:r>
        <w:rPr>
          <w:rStyle w:val="9"/>
          <w:rFonts w:ascii="Arial" w:hAnsi="Arial" w:eastAsia="Gill Sans MT" w:cs="Arial"/>
          <w:spacing w:val="-3"/>
          <w:sz w:val="20"/>
          <w:szCs w:val="20"/>
          <w:lang w:val="pt-BR"/>
        </w:rPr>
        <w:t>MODO DE DISPUTA</w:t>
      </w:r>
      <w:r>
        <w:rPr>
          <w:rFonts w:ascii="Arial" w:hAnsi="Arial" w:cs="Arial"/>
          <w:sz w:val="20"/>
          <w:szCs w:val="20"/>
          <w:lang w:val="pt-BR"/>
        </w:rPr>
        <w:tab/>
      </w:r>
      <w:r>
        <w:rPr>
          <w:rFonts w:ascii="Arial" w:hAnsi="Arial" w:cs="Arial"/>
          <w:sz w:val="20"/>
          <w:szCs w:val="20"/>
          <w:lang w:val="pt-BR"/>
        </w:rPr>
        <w:fldChar w:fldCharType="begin"/>
      </w:r>
      <w:r>
        <w:rPr>
          <w:rFonts w:ascii="Arial" w:hAnsi="Arial" w:cs="Arial"/>
          <w:sz w:val="20"/>
          <w:szCs w:val="20"/>
          <w:lang w:val="pt-BR"/>
        </w:rPr>
        <w:instrText xml:space="preserve"> PAGEREF _Toc151457789 \h </w:instrText>
      </w:r>
      <w:r>
        <w:rPr>
          <w:rFonts w:ascii="Arial" w:hAnsi="Arial" w:cs="Arial"/>
          <w:sz w:val="20"/>
          <w:szCs w:val="20"/>
          <w:lang w:val="pt-BR"/>
        </w:rPr>
        <w:fldChar w:fldCharType="separate"/>
      </w:r>
      <w:r>
        <w:rPr>
          <w:rFonts w:ascii="Arial" w:hAnsi="Arial" w:cs="Arial"/>
          <w:sz w:val="20"/>
          <w:szCs w:val="20"/>
          <w:lang w:val="pt-BR"/>
        </w:rPr>
        <w:t>15</w:t>
      </w:r>
      <w:r>
        <w:rPr>
          <w:rFonts w:ascii="Arial" w:hAnsi="Arial" w:cs="Arial"/>
          <w:sz w:val="20"/>
          <w:szCs w:val="20"/>
          <w:lang w:val="pt-BR"/>
        </w:rPr>
        <w:fldChar w:fldCharType="end"/>
      </w:r>
      <w:r>
        <w:rPr>
          <w:rFonts w:ascii="Arial" w:hAnsi="Arial" w:cs="Arial"/>
          <w:sz w:val="20"/>
          <w:szCs w:val="20"/>
          <w:lang w:val="pt-BR"/>
        </w:rPr>
        <w:fldChar w:fldCharType="end"/>
      </w:r>
    </w:p>
    <w:p w14:paraId="20D13299">
      <w:pPr>
        <w:pStyle w:val="15"/>
        <w:tabs>
          <w:tab w:val="left" w:pos="880"/>
          <w:tab w:val="right" w:leader="dot" w:pos="10193"/>
        </w:tabs>
        <w:rPr>
          <w:rFonts w:ascii="Arial" w:hAnsi="Arial" w:cs="Arial" w:eastAsiaTheme="minorEastAsia"/>
          <w:sz w:val="20"/>
          <w:szCs w:val="20"/>
          <w:lang w:val="pt-BR" w:eastAsia="pt-BR" w:bidi="ar-SA"/>
        </w:rPr>
      </w:pPr>
      <w:r>
        <w:fldChar w:fldCharType="begin"/>
      </w:r>
      <w:r>
        <w:instrText xml:space="preserve"> HYPERLINK \l "_Toc151457790" </w:instrText>
      </w:r>
      <w:r>
        <w:fldChar w:fldCharType="separate"/>
      </w:r>
      <w:r>
        <w:rPr>
          <w:rStyle w:val="9"/>
          <w:rFonts w:ascii="Arial" w:hAnsi="Arial" w:eastAsia="Gill Sans MT" w:cs="Arial"/>
          <w:spacing w:val="-2"/>
          <w:w w:val="115"/>
          <w:sz w:val="20"/>
          <w:szCs w:val="20"/>
          <w:lang w:val="pt-BR"/>
        </w:rPr>
        <w:t>12.</w:t>
      </w:r>
      <w:r>
        <w:rPr>
          <w:rFonts w:ascii="Arial" w:hAnsi="Arial" w:cs="Arial" w:eastAsiaTheme="minorEastAsia"/>
          <w:sz w:val="20"/>
          <w:szCs w:val="20"/>
          <w:lang w:val="pt-BR" w:eastAsia="pt-BR" w:bidi="ar-SA"/>
        </w:rPr>
        <w:tab/>
      </w:r>
      <w:r>
        <w:rPr>
          <w:rStyle w:val="9"/>
          <w:rFonts w:ascii="Arial" w:hAnsi="Arial" w:eastAsia="Gill Sans MT" w:cs="Arial"/>
          <w:spacing w:val="-3"/>
          <w:sz w:val="20"/>
          <w:szCs w:val="20"/>
          <w:lang w:val="pt-BR"/>
        </w:rPr>
        <w:t>DA ABERTURA DA SESSÃO, CLASSIFICAÇÃO DAS PROPOSTAS E FORMULAÇÃO DE LANCES</w:t>
      </w:r>
      <w:r>
        <w:rPr>
          <w:rFonts w:ascii="Arial" w:hAnsi="Arial" w:cs="Arial"/>
          <w:sz w:val="20"/>
          <w:szCs w:val="20"/>
          <w:lang w:val="pt-BR"/>
        </w:rPr>
        <w:tab/>
      </w:r>
      <w:r>
        <w:rPr>
          <w:rFonts w:ascii="Arial" w:hAnsi="Arial" w:cs="Arial"/>
          <w:sz w:val="20"/>
          <w:szCs w:val="20"/>
          <w:lang w:val="pt-BR"/>
        </w:rPr>
        <w:fldChar w:fldCharType="begin"/>
      </w:r>
      <w:r>
        <w:rPr>
          <w:rFonts w:ascii="Arial" w:hAnsi="Arial" w:cs="Arial"/>
          <w:sz w:val="20"/>
          <w:szCs w:val="20"/>
          <w:lang w:val="pt-BR"/>
        </w:rPr>
        <w:instrText xml:space="preserve"> PAGEREF _Toc151457790 \h </w:instrText>
      </w:r>
      <w:r>
        <w:rPr>
          <w:rFonts w:ascii="Arial" w:hAnsi="Arial" w:cs="Arial"/>
          <w:sz w:val="20"/>
          <w:szCs w:val="20"/>
          <w:lang w:val="pt-BR"/>
        </w:rPr>
        <w:fldChar w:fldCharType="separate"/>
      </w:r>
      <w:r>
        <w:rPr>
          <w:rFonts w:ascii="Arial" w:hAnsi="Arial" w:cs="Arial"/>
          <w:sz w:val="20"/>
          <w:szCs w:val="20"/>
          <w:lang w:val="pt-BR"/>
        </w:rPr>
        <w:t>16</w:t>
      </w:r>
      <w:r>
        <w:rPr>
          <w:rFonts w:ascii="Arial" w:hAnsi="Arial" w:cs="Arial"/>
          <w:sz w:val="20"/>
          <w:szCs w:val="20"/>
          <w:lang w:val="pt-BR"/>
        </w:rPr>
        <w:fldChar w:fldCharType="end"/>
      </w:r>
      <w:r>
        <w:rPr>
          <w:rFonts w:ascii="Arial" w:hAnsi="Arial" w:cs="Arial"/>
          <w:sz w:val="20"/>
          <w:szCs w:val="20"/>
          <w:lang w:val="pt-BR"/>
        </w:rPr>
        <w:fldChar w:fldCharType="end"/>
      </w:r>
    </w:p>
    <w:p w14:paraId="148EE91B">
      <w:pPr>
        <w:pStyle w:val="15"/>
        <w:tabs>
          <w:tab w:val="left" w:pos="880"/>
          <w:tab w:val="right" w:leader="dot" w:pos="10193"/>
        </w:tabs>
        <w:rPr>
          <w:rFonts w:ascii="Arial" w:hAnsi="Arial" w:cs="Arial" w:eastAsiaTheme="minorEastAsia"/>
          <w:sz w:val="20"/>
          <w:szCs w:val="20"/>
          <w:lang w:val="pt-BR" w:eastAsia="pt-BR" w:bidi="ar-SA"/>
        </w:rPr>
      </w:pPr>
      <w:r>
        <w:fldChar w:fldCharType="begin"/>
      </w:r>
      <w:r>
        <w:instrText xml:space="preserve"> HYPERLINK \l "_Toc151457791" </w:instrText>
      </w:r>
      <w:r>
        <w:fldChar w:fldCharType="separate"/>
      </w:r>
      <w:r>
        <w:rPr>
          <w:rStyle w:val="9"/>
          <w:rFonts w:ascii="Arial" w:hAnsi="Arial" w:eastAsia="Gill Sans MT" w:cs="Arial"/>
          <w:spacing w:val="-2"/>
          <w:w w:val="115"/>
          <w:sz w:val="20"/>
          <w:szCs w:val="20"/>
          <w:lang w:val="pt-BR"/>
        </w:rPr>
        <w:t>13.</w:t>
      </w:r>
      <w:r>
        <w:rPr>
          <w:rFonts w:ascii="Arial" w:hAnsi="Arial" w:cs="Arial" w:eastAsiaTheme="minorEastAsia"/>
          <w:sz w:val="20"/>
          <w:szCs w:val="20"/>
          <w:lang w:val="pt-BR" w:eastAsia="pt-BR" w:bidi="ar-SA"/>
        </w:rPr>
        <w:tab/>
      </w:r>
      <w:r>
        <w:rPr>
          <w:rStyle w:val="9"/>
          <w:rFonts w:ascii="Arial" w:hAnsi="Arial" w:eastAsia="Gill Sans MT" w:cs="Arial"/>
          <w:spacing w:val="-3"/>
          <w:sz w:val="20"/>
          <w:szCs w:val="20"/>
          <w:lang w:val="pt-BR"/>
        </w:rPr>
        <w:t>NEGOCIAÇÃO</w:t>
      </w:r>
      <w:r>
        <w:rPr>
          <w:rFonts w:ascii="Arial" w:hAnsi="Arial" w:cs="Arial"/>
          <w:sz w:val="20"/>
          <w:szCs w:val="20"/>
          <w:lang w:val="pt-BR"/>
        </w:rPr>
        <w:tab/>
      </w:r>
      <w:r>
        <w:rPr>
          <w:rFonts w:ascii="Arial" w:hAnsi="Arial" w:cs="Arial"/>
          <w:sz w:val="20"/>
          <w:szCs w:val="20"/>
          <w:lang w:val="pt-BR"/>
        </w:rPr>
        <w:fldChar w:fldCharType="begin"/>
      </w:r>
      <w:r>
        <w:rPr>
          <w:rFonts w:ascii="Arial" w:hAnsi="Arial" w:cs="Arial"/>
          <w:sz w:val="20"/>
          <w:szCs w:val="20"/>
          <w:lang w:val="pt-BR"/>
        </w:rPr>
        <w:instrText xml:space="preserve"> PAGEREF _Toc151457791 \h </w:instrText>
      </w:r>
      <w:r>
        <w:rPr>
          <w:rFonts w:ascii="Arial" w:hAnsi="Arial" w:cs="Arial"/>
          <w:sz w:val="20"/>
          <w:szCs w:val="20"/>
          <w:lang w:val="pt-BR"/>
        </w:rPr>
        <w:fldChar w:fldCharType="separate"/>
      </w:r>
      <w:r>
        <w:rPr>
          <w:rFonts w:ascii="Arial" w:hAnsi="Arial" w:cs="Arial"/>
          <w:sz w:val="20"/>
          <w:szCs w:val="20"/>
          <w:lang w:val="pt-BR"/>
        </w:rPr>
        <w:t>19</w:t>
      </w:r>
      <w:r>
        <w:rPr>
          <w:rFonts w:ascii="Arial" w:hAnsi="Arial" w:cs="Arial"/>
          <w:sz w:val="20"/>
          <w:szCs w:val="20"/>
          <w:lang w:val="pt-BR"/>
        </w:rPr>
        <w:fldChar w:fldCharType="end"/>
      </w:r>
      <w:r>
        <w:rPr>
          <w:rFonts w:ascii="Arial" w:hAnsi="Arial" w:cs="Arial"/>
          <w:sz w:val="20"/>
          <w:szCs w:val="20"/>
          <w:lang w:val="pt-BR"/>
        </w:rPr>
        <w:fldChar w:fldCharType="end"/>
      </w:r>
    </w:p>
    <w:p w14:paraId="49917C43">
      <w:pPr>
        <w:pStyle w:val="15"/>
        <w:tabs>
          <w:tab w:val="left" w:pos="880"/>
          <w:tab w:val="right" w:leader="dot" w:pos="10193"/>
        </w:tabs>
        <w:rPr>
          <w:rFonts w:ascii="Arial" w:hAnsi="Arial" w:cs="Arial" w:eastAsiaTheme="minorEastAsia"/>
          <w:sz w:val="20"/>
          <w:szCs w:val="20"/>
          <w:lang w:val="pt-BR" w:eastAsia="pt-BR" w:bidi="ar-SA"/>
        </w:rPr>
      </w:pPr>
      <w:r>
        <w:fldChar w:fldCharType="begin"/>
      </w:r>
      <w:r>
        <w:instrText xml:space="preserve"> HYPERLINK \l "_Toc151457792" </w:instrText>
      </w:r>
      <w:r>
        <w:fldChar w:fldCharType="separate"/>
      </w:r>
      <w:r>
        <w:rPr>
          <w:rStyle w:val="9"/>
          <w:rFonts w:ascii="Arial" w:hAnsi="Arial" w:eastAsia="Gill Sans MT" w:cs="Arial"/>
          <w:spacing w:val="-2"/>
          <w:w w:val="115"/>
          <w:sz w:val="20"/>
          <w:szCs w:val="20"/>
          <w:lang w:val="pt-BR"/>
        </w:rPr>
        <w:t>14.</w:t>
      </w:r>
      <w:r>
        <w:rPr>
          <w:rFonts w:ascii="Arial" w:hAnsi="Arial" w:cs="Arial" w:eastAsiaTheme="minorEastAsia"/>
          <w:sz w:val="20"/>
          <w:szCs w:val="20"/>
          <w:lang w:val="pt-BR" w:eastAsia="pt-BR" w:bidi="ar-SA"/>
        </w:rPr>
        <w:tab/>
      </w:r>
      <w:r>
        <w:rPr>
          <w:rStyle w:val="9"/>
          <w:rFonts w:ascii="Arial" w:hAnsi="Arial" w:eastAsia="Gill Sans MT" w:cs="Arial"/>
          <w:spacing w:val="-3"/>
          <w:sz w:val="20"/>
          <w:szCs w:val="20"/>
          <w:lang w:val="pt-BR"/>
        </w:rPr>
        <w:t>DA FASE DE JULGAMENTO</w:t>
      </w:r>
      <w:r>
        <w:rPr>
          <w:rFonts w:ascii="Arial" w:hAnsi="Arial" w:cs="Arial"/>
          <w:sz w:val="20"/>
          <w:szCs w:val="20"/>
          <w:lang w:val="pt-BR"/>
        </w:rPr>
        <w:tab/>
      </w:r>
      <w:r>
        <w:rPr>
          <w:rFonts w:ascii="Arial" w:hAnsi="Arial" w:cs="Arial"/>
          <w:sz w:val="20"/>
          <w:szCs w:val="20"/>
          <w:lang w:val="pt-BR"/>
        </w:rPr>
        <w:fldChar w:fldCharType="begin"/>
      </w:r>
      <w:r>
        <w:rPr>
          <w:rFonts w:ascii="Arial" w:hAnsi="Arial" w:cs="Arial"/>
          <w:sz w:val="20"/>
          <w:szCs w:val="20"/>
          <w:lang w:val="pt-BR"/>
        </w:rPr>
        <w:instrText xml:space="preserve"> PAGEREF _Toc151457792 \h </w:instrText>
      </w:r>
      <w:r>
        <w:rPr>
          <w:rFonts w:ascii="Arial" w:hAnsi="Arial" w:cs="Arial"/>
          <w:sz w:val="20"/>
          <w:szCs w:val="20"/>
          <w:lang w:val="pt-BR"/>
        </w:rPr>
        <w:fldChar w:fldCharType="separate"/>
      </w:r>
      <w:r>
        <w:rPr>
          <w:rFonts w:ascii="Arial" w:hAnsi="Arial" w:cs="Arial"/>
          <w:sz w:val="20"/>
          <w:szCs w:val="20"/>
          <w:lang w:val="pt-BR"/>
        </w:rPr>
        <w:t>20</w:t>
      </w:r>
      <w:r>
        <w:rPr>
          <w:rFonts w:ascii="Arial" w:hAnsi="Arial" w:cs="Arial"/>
          <w:sz w:val="20"/>
          <w:szCs w:val="20"/>
          <w:lang w:val="pt-BR"/>
        </w:rPr>
        <w:fldChar w:fldCharType="end"/>
      </w:r>
      <w:r>
        <w:rPr>
          <w:rFonts w:ascii="Arial" w:hAnsi="Arial" w:cs="Arial"/>
          <w:sz w:val="20"/>
          <w:szCs w:val="20"/>
          <w:lang w:val="pt-BR"/>
        </w:rPr>
        <w:fldChar w:fldCharType="end"/>
      </w:r>
    </w:p>
    <w:p w14:paraId="6D58ECCE">
      <w:pPr>
        <w:pStyle w:val="15"/>
        <w:tabs>
          <w:tab w:val="left" w:pos="880"/>
          <w:tab w:val="right" w:leader="dot" w:pos="10193"/>
        </w:tabs>
        <w:rPr>
          <w:rFonts w:ascii="Arial" w:hAnsi="Arial" w:cs="Arial" w:eastAsiaTheme="minorEastAsia"/>
          <w:sz w:val="20"/>
          <w:szCs w:val="20"/>
          <w:lang w:val="pt-BR" w:eastAsia="pt-BR" w:bidi="ar-SA"/>
        </w:rPr>
      </w:pPr>
      <w:r>
        <w:fldChar w:fldCharType="begin"/>
      </w:r>
      <w:r>
        <w:instrText xml:space="preserve"> HYPERLINK \l "_Toc151457793" </w:instrText>
      </w:r>
      <w:r>
        <w:fldChar w:fldCharType="separate"/>
      </w:r>
      <w:r>
        <w:rPr>
          <w:rStyle w:val="9"/>
          <w:rFonts w:ascii="Arial" w:hAnsi="Arial" w:eastAsia="Gill Sans MT" w:cs="Arial"/>
          <w:spacing w:val="-2"/>
          <w:w w:val="115"/>
          <w:sz w:val="20"/>
          <w:szCs w:val="20"/>
          <w:lang w:val="pt-BR"/>
        </w:rPr>
        <w:t>15.</w:t>
      </w:r>
      <w:r>
        <w:rPr>
          <w:rFonts w:ascii="Arial" w:hAnsi="Arial" w:cs="Arial" w:eastAsiaTheme="minorEastAsia"/>
          <w:sz w:val="20"/>
          <w:szCs w:val="20"/>
          <w:lang w:val="pt-BR" w:eastAsia="pt-BR" w:bidi="ar-SA"/>
        </w:rPr>
        <w:tab/>
      </w:r>
      <w:r>
        <w:rPr>
          <w:rStyle w:val="9"/>
          <w:rFonts w:ascii="Arial" w:hAnsi="Arial" w:eastAsia="Gill Sans MT" w:cs="Arial"/>
          <w:spacing w:val="-3"/>
          <w:sz w:val="20"/>
          <w:szCs w:val="20"/>
          <w:lang w:val="pt-BR"/>
        </w:rPr>
        <w:t>DA FASE DE HABILITAÇÃO</w:t>
      </w:r>
      <w:r>
        <w:rPr>
          <w:rFonts w:ascii="Arial" w:hAnsi="Arial" w:cs="Arial"/>
          <w:sz w:val="20"/>
          <w:szCs w:val="20"/>
          <w:lang w:val="pt-BR"/>
        </w:rPr>
        <w:tab/>
      </w:r>
      <w:r>
        <w:rPr>
          <w:rFonts w:ascii="Arial" w:hAnsi="Arial" w:cs="Arial"/>
          <w:sz w:val="20"/>
          <w:szCs w:val="20"/>
          <w:lang w:val="pt-BR"/>
        </w:rPr>
        <w:fldChar w:fldCharType="begin"/>
      </w:r>
      <w:r>
        <w:rPr>
          <w:rFonts w:ascii="Arial" w:hAnsi="Arial" w:cs="Arial"/>
          <w:sz w:val="20"/>
          <w:szCs w:val="20"/>
          <w:lang w:val="pt-BR"/>
        </w:rPr>
        <w:instrText xml:space="preserve"> PAGEREF _Toc151457793 \h </w:instrText>
      </w:r>
      <w:r>
        <w:rPr>
          <w:rFonts w:ascii="Arial" w:hAnsi="Arial" w:cs="Arial"/>
          <w:sz w:val="20"/>
          <w:szCs w:val="20"/>
          <w:lang w:val="pt-BR"/>
        </w:rPr>
        <w:fldChar w:fldCharType="separate"/>
      </w:r>
      <w:r>
        <w:rPr>
          <w:rFonts w:ascii="Arial" w:hAnsi="Arial" w:cs="Arial"/>
          <w:sz w:val="20"/>
          <w:szCs w:val="20"/>
          <w:lang w:val="pt-BR"/>
        </w:rPr>
        <w:t>24</w:t>
      </w:r>
      <w:r>
        <w:rPr>
          <w:rFonts w:ascii="Arial" w:hAnsi="Arial" w:cs="Arial"/>
          <w:sz w:val="20"/>
          <w:szCs w:val="20"/>
          <w:lang w:val="pt-BR"/>
        </w:rPr>
        <w:fldChar w:fldCharType="end"/>
      </w:r>
      <w:r>
        <w:rPr>
          <w:rFonts w:ascii="Arial" w:hAnsi="Arial" w:cs="Arial"/>
          <w:sz w:val="20"/>
          <w:szCs w:val="20"/>
          <w:lang w:val="pt-BR"/>
        </w:rPr>
        <w:fldChar w:fldCharType="end"/>
      </w:r>
    </w:p>
    <w:p w14:paraId="07818C35">
      <w:pPr>
        <w:pStyle w:val="15"/>
        <w:tabs>
          <w:tab w:val="left" w:pos="880"/>
          <w:tab w:val="right" w:leader="dot" w:pos="10193"/>
        </w:tabs>
        <w:rPr>
          <w:rFonts w:ascii="Arial" w:hAnsi="Arial" w:cs="Arial" w:eastAsiaTheme="minorEastAsia"/>
          <w:sz w:val="20"/>
          <w:szCs w:val="20"/>
          <w:lang w:val="pt-BR" w:eastAsia="pt-BR" w:bidi="ar-SA"/>
        </w:rPr>
      </w:pPr>
      <w:r>
        <w:fldChar w:fldCharType="begin"/>
      </w:r>
      <w:r>
        <w:instrText xml:space="preserve"> HYPERLINK \l "_Toc151457794" </w:instrText>
      </w:r>
      <w:r>
        <w:fldChar w:fldCharType="separate"/>
      </w:r>
      <w:r>
        <w:rPr>
          <w:rStyle w:val="9"/>
          <w:rFonts w:ascii="Arial" w:hAnsi="Arial" w:eastAsia="Gill Sans MT" w:cs="Arial"/>
          <w:spacing w:val="-2"/>
          <w:w w:val="115"/>
          <w:sz w:val="20"/>
          <w:szCs w:val="20"/>
          <w:lang w:val="pt-BR"/>
        </w:rPr>
        <w:t>16.</w:t>
      </w:r>
      <w:r>
        <w:rPr>
          <w:rFonts w:ascii="Arial" w:hAnsi="Arial" w:cs="Arial" w:eastAsiaTheme="minorEastAsia"/>
          <w:sz w:val="20"/>
          <w:szCs w:val="20"/>
          <w:lang w:val="pt-BR" w:eastAsia="pt-BR" w:bidi="ar-SA"/>
        </w:rPr>
        <w:tab/>
      </w:r>
      <w:r>
        <w:rPr>
          <w:rStyle w:val="9"/>
          <w:rFonts w:ascii="Arial" w:hAnsi="Arial" w:eastAsia="Gill Sans MT" w:cs="Arial"/>
          <w:spacing w:val="-3"/>
          <w:sz w:val="20"/>
          <w:szCs w:val="20"/>
          <w:lang w:val="pt-BR"/>
        </w:rPr>
        <w:t>HABILITAÇÃO JURÍDICA</w:t>
      </w:r>
      <w:r>
        <w:rPr>
          <w:rFonts w:ascii="Arial" w:hAnsi="Arial" w:cs="Arial"/>
          <w:sz w:val="20"/>
          <w:szCs w:val="20"/>
          <w:lang w:val="pt-BR"/>
        </w:rPr>
        <w:tab/>
      </w:r>
      <w:r>
        <w:rPr>
          <w:rFonts w:ascii="Arial" w:hAnsi="Arial" w:cs="Arial"/>
          <w:sz w:val="20"/>
          <w:szCs w:val="20"/>
          <w:lang w:val="pt-BR"/>
        </w:rPr>
        <w:fldChar w:fldCharType="begin"/>
      </w:r>
      <w:r>
        <w:rPr>
          <w:rFonts w:ascii="Arial" w:hAnsi="Arial" w:cs="Arial"/>
          <w:sz w:val="20"/>
          <w:szCs w:val="20"/>
          <w:lang w:val="pt-BR"/>
        </w:rPr>
        <w:instrText xml:space="preserve"> PAGEREF _Toc151457794 \h </w:instrText>
      </w:r>
      <w:r>
        <w:rPr>
          <w:rFonts w:ascii="Arial" w:hAnsi="Arial" w:cs="Arial"/>
          <w:sz w:val="20"/>
          <w:szCs w:val="20"/>
          <w:lang w:val="pt-BR"/>
        </w:rPr>
        <w:fldChar w:fldCharType="separate"/>
      </w:r>
      <w:r>
        <w:rPr>
          <w:rFonts w:ascii="Arial" w:hAnsi="Arial" w:cs="Arial"/>
          <w:sz w:val="20"/>
          <w:szCs w:val="20"/>
          <w:lang w:val="pt-BR"/>
        </w:rPr>
        <w:t>26</w:t>
      </w:r>
      <w:r>
        <w:rPr>
          <w:rFonts w:ascii="Arial" w:hAnsi="Arial" w:cs="Arial"/>
          <w:sz w:val="20"/>
          <w:szCs w:val="20"/>
          <w:lang w:val="pt-BR"/>
        </w:rPr>
        <w:fldChar w:fldCharType="end"/>
      </w:r>
      <w:r>
        <w:rPr>
          <w:rFonts w:ascii="Arial" w:hAnsi="Arial" w:cs="Arial"/>
          <w:sz w:val="20"/>
          <w:szCs w:val="20"/>
          <w:lang w:val="pt-BR"/>
        </w:rPr>
        <w:fldChar w:fldCharType="end"/>
      </w:r>
    </w:p>
    <w:p w14:paraId="0FEC79FD">
      <w:pPr>
        <w:pStyle w:val="15"/>
        <w:tabs>
          <w:tab w:val="left" w:pos="880"/>
          <w:tab w:val="right" w:leader="dot" w:pos="10193"/>
        </w:tabs>
        <w:rPr>
          <w:rFonts w:ascii="Arial" w:hAnsi="Arial" w:cs="Arial" w:eastAsiaTheme="minorEastAsia"/>
          <w:sz w:val="20"/>
          <w:szCs w:val="20"/>
          <w:lang w:val="pt-BR" w:eastAsia="pt-BR" w:bidi="ar-SA"/>
        </w:rPr>
      </w:pPr>
      <w:r>
        <w:fldChar w:fldCharType="begin"/>
      </w:r>
      <w:r>
        <w:instrText xml:space="preserve"> HYPERLINK \l "_Toc151457795" </w:instrText>
      </w:r>
      <w:r>
        <w:fldChar w:fldCharType="separate"/>
      </w:r>
      <w:r>
        <w:rPr>
          <w:rStyle w:val="9"/>
          <w:rFonts w:ascii="Arial" w:hAnsi="Arial" w:eastAsia="Gill Sans MT" w:cs="Arial"/>
          <w:spacing w:val="-2"/>
          <w:w w:val="115"/>
          <w:sz w:val="20"/>
          <w:szCs w:val="20"/>
          <w:lang w:val="pt-BR"/>
        </w:rPr>
        <w:t>17.</w:t>
      </w:r>
      <w:r>
        <w:rPr>
          <w:rFonts w:ascii="Arial" w:hAnsi="Arial" w:cs="Arial" w:eastAsiaTheme="minorEastAsia"/>
          <w:sz w:val="20"/>
          <w:szCs w:val="20"/>
          <w:lang w:val="pt-BR" w:eastAsia="pt-BR" w:bidi="ar-SA"/>
        </w:rPr>
        <w:tab/>
      </w:r>
      <w:r>
        <w:rPr>
          <w:rStyle w:val="9"/>
          <w:rFonts w:ascii="Arial" w:hAnsi="Arial" w:eastAsia="Gill Sans MT" w:cs="Arial"/>
          <w:spacing w:val="-3"/>
          <w:sz w:val="20"/>
          <w:szCs w:val="20"/>
          <w:lang w:val="pt-BR"/>
        </w:rPr>
        <w:t>REGULARIDADE FISCAL E TRABALHISTA</w:t>
      </w:r>
      <w:r>
        <w:rPr>
          <w:rFonts w:ascii="Arial" w:hAnsi="Arial" w:cs="Arial"/>
          <w:sz w:val="20"/>
          <w:szCs w:val="20"/>
          <w:lang w:val="pt-BR"/>
        </w:rPr>
        <w:tab/>
      </w:r>
      <w:r>
        <w:rPr>
          <w:rFonts w:ascii="Arial" w:hAnsi="Arial" w:cs="Arial"/>
          <w:sz w:val="20"/>
          <w:szCs w:val="20"/>
          <w:lang w:val="pt-BR"/>
        </w:rPr>
        <w:fldChar w:fldCharType="begin"/>
      </w:r>
      <w:r>
        <w:rPr>
          <w:rFonts w:ascii="Arial" w:hAnsi="Arial" w:cs="Arial"/>
          <w:sz w:val="20"/>
          <w:szCs w:val="20"/>
          <w:lang w:val="pt-BR"/>
        </w:rPr>
        <w:instrText xml:space="preserve"> PAGEREF _Toc151457795 \h </w:instrText>
      </w:r>
      <w:r>
        <w:rPr>
          <w:rFonts w:ascii="Arial" w:hAnsi="Arial" w:cs="Arial"/>
          <w:sz w:val="20"/>
          <w:szCs w:val="20"/>
          <w:lang w:val="pt-BR"/>
        </w:rPr>
        <w:fldChar w:fldCharType="separate"/>
      </w:r>
      <w:r>
        <w:rPr>
          <w:rFonts w:ascii="Arial" w:hAnsi="Arial" w:cs="Arial"/>
          <w:sz w:val="20"/>
          <w:szCs w:val="20"/>
          <w:lang w:val="pt-BR"/>
        </w:rPr>
        <w:t>27</w:t>
      </w:r>
      <w:r>
        <w:rPr>
          <w:rFonts w:ascii="Arial" w:hAnsi="Arial" w:cs="Arial"/>
          <w:sz w:val="20"/>
          <w:szCs w:val="20"/>
          <w:lang w:val="pt-BR"/>
        </w:rPr>
        <w:fldChar w:fldCharType="end"/>
      </w:r>
      <w:r>
        <w:rPr>
          <w:rFonts w:ascii="Arial" w:hAnsi="Arial" w:cs="Arial"/>
          <w:sz w:val="20"/>
          <w:szCs w:val="20"/>
          <w:lang w:val="pt-BR"/>
        </w:rPr>
        <w:fldChar w:fldCharType="end"/>
      </w:r>
    </w:p>
    <w:p w14:paraId="7E10A33E">
      <w:pPr>
        <w:pStyle w:val="15"/>
        <w:tabs>
          <w:tab w:val="left" w:pos="880"/>
          <w:tab w:val="right" w:leader="dot" w:pos="10193"/>
        </w:tabs>
        <w:rPr>
          <w:rFonts w:ascii="Arial" w:hAnsi="Arial" w:cs="Arial" w:eastAsiaTheme="minorEastAsia"/>
          <w:sz w:val="22"/>
          <w:szCs w:val="22"/>
          <w:lang w:val="pt-BR" w:eastAsia="pt-BR" w:bidi="ar-SA"/>
        </w:rPr>
      </w:pPr>
      <w:r>
        <w:fldChar w:fldCharType="begin"/>
      </w:r>
      <w:r>
        <w:instrText xml:space="preserve"> HYPERLINK \l "_Toc151457796" </w:instrText>
      </w:r>
      <w:r>
        <w:fldChar w:fldCharType="separate"/>
      </w:r>
      <w:r>
        <w:rPr>
          <w:rStyle w:val="9"/>
          <w:rFonts w:ascii="Arial" w:hAnsi="Arial" w:cs="Arial"/>
          <w:spacing w:val="-2"/>
          <w:w w:val="115"/>
          <w:sz w:val="22"/>
          <w:szCs w:val="22"/>
          <w:lang w:val="pt-BR"/>
        </w:rPr>
        <w:t>18.</w:t>
      </w:r>
      <w:r>
        <w:rPr>
          <w:rFonts w:ascii="Arial" w:hAnsi="Arial" w:cs="Arial" w:eastAsiaTheme="minorEastAsia"/>
          <w:sz w:val="22"/>
          <w:szCs w:val="22"/>
          <w:lang w:val="pt-BR" w:eastAsia="pt-BR" w:bidi="ar-SA"/>
        </w:rPr>
        <w:tab/>
      </w:r>
      <w:r>
        <w:rPr>
          <w:rStyle w:val="9"/>
          <w:rFonts w:ascii="Arial" w:hAnsi="Arial" w:cs="Arial"/>
          <w:spacing w:val="-3"/>
          <w:sz w:val="22"/>
          <w:szCs w:val="22"/>
          <w:lang w:val="pt-BR"/>
        </w:rPr>
        <w:t>DA QUALIFICAÇÃO ECONÔMICO-FINANCEIRA</w:t>
      </w:r>
      <w:r>
        <w:rPr>
          <w:rFonts w:ascii="Arial" w:hAnsi="Arial" w:cs="Arial"/>
          <w:sz w:val="22"/>
          <w:szCs w:val="22"/>
          <w:lang w:val="pt-BR"/>
        </w:rPr>
        <w:tab/>
      </w:r>
      <w:r>
        <w:rPr>
          <w:rFonts w:ascii="Arial" w:hAnsi="Arial" w:cs="Arial"/>
          <w:sz w:val="22"/>
          <w:szCs w:val="22"/>
          <w:lang w:val="pt-BR"/>
        </w:rPr>
        <w:fldChar w:fldCharType="begin"/>
      </w:r>
      <w:r>
        <w:rPr>
          <w:rFonts w:ascii="Arial" w:hAnsi="Arial" w:cs="Arial"/>
          <w:sz w:val="22"/>
          <w:szCs w:val="22"/>
          <w:lang w:val="pt-BR"/>
        </w:rPr>
        <w:instrText xml:space="preserve"> PAGEREF _Toc151457796 \h </w:instrText>
      </w:r>
      <w:r>
        <w:rPr>
          <w:rFonts w:ascii="Arial" w:hAnsi="Arial" w:cs="Arial"/>
          <w:sz w:val="22"/>
          <w:szCs w:val="22"/>
          <w:lang w:val="pt-BR"/>
        </w:rPr>
        <w:fldChar w:fldCharType="separate"/>
      </w:r>
      <w:r>
        <w:rPr>
          <w:rFonts w:ascii="Arial" w:hAnsi="Arial" w:cs="Arial"/>
          <w:sz w:val="22"/>
          <w:szCs w:val="22"/>
          <w:lang w:val="pt-BR"/>
        </w:rPr>
        <w:t>29</w:t>
      </w:r>
      <w:r>
        <w:rPr>
          <w:rFonts w:ascii="Arial" w:hAnsi="Arial" w:cs="Arial"/>
          <w:sz w:val="22"/>
          <w:szCs w:val="22"/>
          <w:lang w:val="pt-BR"/>
        </w:rPr>
        <w:fldChar w:fldCharType="end"/>
      </w:r>
      <w:r>
        <w:rPr>
          <w:rFonts w:ascii="Arial" w:hAnsi="Arial" w:cs="Arial"/>
          <w:sz w:val="22"/>
          <w:szCs w:val="22"/>
          <w:lang w:val="pt-BR"/>
        </w:rPr>
        <w:fldChar w:fldCharType="end"/>
      </w:r>
    </w:p>
    <w:p w14:paraId="5F537489">
      <w:pPr>
        <w:pStyle w:val="15"/>
        <w:tabs>
          <w:tab w:val="left" w:pos="880"/>
          <w:tab w:val="right" w:leader="dot" w:pos="10193"/>
        </w:tabs>
        <w:rPr>
          <w:rFonts w:ascii="Arial" w:hAnsi="Arial" w:cs="Arial" w:eastAsiaTheme="minorEastAsia"/>
          <w:sz w:val="22"/>
          <w:szCs w:val="22"/>
          <w:lang w:val="pt-BR" w:eastAsia="pt-BR" w:bidi="ar-SA"/>
        </w:rPr>
      </w:pPr>
      <w:r>
        <w:fldChar w:fldCharType="begin"/>
      </w:r>
      <w:r>
        <w:instrText xml:space="preserve"> HYPERLINK \l "_Toc151457797" </w:instrText>
      </w:r>
      <w:r>
        <w:fldChar w:fldCharType="separate"/>
      </w:r>
      <w:r>
        <w:rPr>
          <w:rStyle w:val="9"/>
          <w:rFonts w:ascii="Arial" w:hAnsi="Arial" w:eastAsia="Gill Sans MT" w:cs="Arial"/>
          <w:spacing w:val="-2"/>
          <w:w w:val="115"/>
          <w:sz w:val="22"/>
          <w:szCs w:val="22"/>
          <w:lang w:val="pt-BR"/>
        </w:rPr>
        <w:t>19.</w:t>
      </w:r>
      <w:r>
        <w:rPr>
          <w:rFonts w:ascii="Arial" w:hAnsi="Arial" w:cs="Arial" w:eastAsiaTheme="minorEastAsia"/>
          <w:sz w:val="22"/>
          <w:szCs w:val="22"/>
          <w:lang w:val="pt-BR" w:eastAsia="pt-BR" w:bidi="ar-SA"/>
        </w:rPr>
        <w:tab/>
      </w:r>
      <w:r>
        <w:rPr>
          <w:rStyle w:val="9"/>
          <w:rFonts w:ascii="Arial" w:hAnsi="Arial" w:eastAsia="Gill Sans MT" w:cs="Arial"/>
          <w:spacing w:val="-3"/>
          <w:sz w:val="22"/>
          <w:szCs w:val="22"/>
          <w:lang w:val="pt-BR"/>
        </w:rPr>
        <w:t>DA QUALIFICAÇÃO TÉCNICA</w:t>
      </w:r>
      <w:r>
        <w:rPr>
          <w:rFonts w:ascii="Arial" w:hAnsi="Arial" w:cs="Arial"/>
          <w:sz w:val="22"/>
          <w:szCs w:val="22"/>
          <w:lang w:val="pt-BR"/>
        </w:rPr>
        <w:tab/>
      </w:r>
      <w:r>
        <w:rPr>
          <w:rFonts w:ascii="Arial" w:hAnsi="Arial" w:cs="Arial"/>
          <w:sz w:val="22"/>
          <w:szCs w:val="22"/>
          <w:lang w:val="pt-BR"/>
        </w:rPr>
        <w:fldChar w:fldCharType="begin"/>
      </w:r>
      <w:r>
        <w:rPr>
          <w:rFonts w:ascii="Arial" w:hAnsi="Arial" w:cs="Arial"/>
          <w:sz w:val="22"/>
          <w:szCs w:val="22"/>
          <w:lang w:val="pt-BR"/>
        </w:rPr>
        <w:instrText xml:space="preserve"> PAGEREF _Toc151457797 \h </w:instrText>
      </w:r>
      <w:r>
        <w:rPr>
          <w:rFonts w:ascii="Arial" w:hAnsi="Arial" w:cs="Arial"/>
          <w:sz w:val="22"/>
          <w:szCs w:val="22"/>
          <w:lang w:val="pt-BR"/>
        </w:rPr>
        <w:fldChar w:fldCharType="separate"/>
      </w:r>
      <w:r>
        <w:rPr>
          <w:rFonts w:ascii="Arial" w:hAnsi="Arial" w:cs="Arial"/>
          <w:sz w:val="22"/>
          <w:szCs w:val="22"/>
          <w:lang w:val="pt-BR"/>
        </w:rPr>
        <w:t>31</w:t>
      </w:r>
      <w:r>
        <w:rPr>
          <w:rFonts w:ascii="Arial" w:hAnsi="Arial" w:cs="Arial"/>
          <w:sz w:val="22"/>
          <w:szCs w:val="22"/>
          <w:lang w:val="pt-BR"/>
        </w:rPr>
        <w:fldChar w:fldCharType="end"/>
      </w:r>
      <w:r>
        <w:rPr>
          <w:rFonts w:ascii="Arial" w:hAnsi="Arial" w:cs="Arial"/>
          <w:sz w:val="22"/>
          <w:szCs w:val="22"/>
          <w:lang w:val="pt-BR"/>
        </w:rPr>
        <w:fldChar w:fldCharType="end"/>
      </w:r>
    </w:p>
    <w:p w14:paraId="1FAAA515">
      <w:pPr>
        <w:pStyle w:val="15"/>
        <w:tabs>
          <w:tab w:val="left" w:pos="880"/>
          <w:tab w:val="right" w:leader="dot" w:pos="10193"/>
        </w:tabs>
        <w:rPr>
          <w:rFonts w:ascii="Arial" w:hAnsi="Arial" w:cs="Arial" w:eastAsiaTheme="minorEastAsia"/>
          <w:sz w:val="22"/>
          <w:szCs w:val="22"/>
          <w:lang w:val="pt-BR" w:eastAsia="pt-BR" w:bidi="ar-SA"/>
        </w:rPr>
      </w:pPr>
      <w:r>
        <w:fldChar w:fldCharType="begin"/>
      </w:r>
      <w:r>
        <w:instrText xml:space="preserve"> HYPERLINK \l "_Toc151457798" </w:instrText>
      </w:r>
      <w:r>
        <w:fldChar w:fldCharType="separate"/>
      </w:r>
      <w:r>
        <w:rPr>
          <w:rStyle w:val="9"/>
          <w:rFonts w:ascii="Arial" w:hAnsi="Arial" w:eastAsia="Gill Sans MT" w:cs="Arial"/>
          <w:spacing w:val="-2"/>
          <w:w w:val="115"/>
          <w:sz w:val="22"/>
          <w:szCs w:val="22"/>
          <w:lang w:val="pt-BR"/>
        </w:rPr>
        <w:t>20.</w:t>
      </w:r>
      <w:r>
        <w:rPr>
          <w:rFonts w:ascii="Arial" w:hAnsi="Arial" w:cs="Arial" w:eastAsiaTheme="minorEastAsia"/>
          <w:sz w:val="22"/>
          <w:szCs w:val="22"/>
          <w:lang w:val="pt-BR" w:eastAsia="pt-BR" w:bidi="ar-SA"/>
        </w:rPr>
        <w:tab/>
      </w:r>
      <w:r>
        <w:rPr>
          <w:rStyle w:val="9"/>
          <w:rFonts w:ascii="Arial" w:hAnsi="Arial" w:eastAsia="Gill Sans MT" w:cs="Arial"/>
          <w:spacing w:val="-3"/>
          <w:sz w:val="22"/>
          <w:szCs w:val="22"/>
          <w:lang w:val="pt-BR"/>
        </w:rPr>
        <w:t>DA ATA DE REGISTRO DE PREÇOS</w:t>
      </w:r>
      <w:r>
        <w:rPr>
          <w:rFonts w:ascii="Arial" w:hAnsi="Arial" w:cs="Arial"/>
          <w:sz w:val="22"/>
          <w:szCs w:val="22"/>
          <w:lang w:val="pt-BR"/>
        </w:rPr>
        <w:tab/>
      </w:r>
      <w:r>
        <w:rPr>
          <w:rFonts w:ascii="Arial" w:hAnsi="Arial" w:cs="Arial"/>
          <w:sz w:val="22"/>
          <w:szCs w:val="22"/>
          <w:lang w:val="pt-BR"/>
        </w:rPr>
        <w:fldChar w:fldCharType="begin"/>
      </w:r>
      <w:r>
        <w:rPr>
          <w:rFonts w:ascii="Arial" w:hAnsi="Arial" w:cs="Arial"/>
          <w:sz w:val="22"/>
          <w:szCs w:val="22"/>
          <w:lang w:val="pt-BR"/>
        </w:rPr>
        <w:instrText xml:space="preserve"> PAGEREF _Toc151457798 \h </w:instrText>
      </w:r>
      <w:r>
        <w:rPr>
          <w:rFonts w:ascii="Arial" w:hAnsi="Arial" w:cs="Arial"/>
          <w:sz w:val="22"/>
          <w:szCs w:val="22"/>
          <w:lang w:val="pt-BR"/>
        </w:rPr>
        <w:fldChar w:fldCharType="separate"/>
      </w:r>
      <w:r>
        <w:rPr>
          <w:rFonts w:ascii="Arial" w:hAnsi="Arial" w:cs="Arial"/>
          <w:sz w:val="22"/>
          <w:szCs w:val="22"/>
          <w:lang w:val="pt-BR"/>
        </w:rPr>
        <w:t>32</w:t>
      </w:r>
      <w:r>
        <w:rPr>
          <w:rFonts w:ascii="Arial" w:hAnsi="Arial" w:cs="Arial"/>
          <w:sz w:val="22"/>
          <w:szCs w:val="22"/>
          <w:lang w:val="pt-BR"/>
        </w:rPr>
        <w:fldChar w:fldCharType="end"/>
      </w:r>
      <w:r>
        <w:rPr>
          <w:rFonts w:ascii="Arial" w:hAnsi="Arial" w:cs="Arial"/>
          <w:sz w:val="22"/>
          <w:szCs w:val="22"/>
          <w:lang w:val="pt-BR"/>
        </w:rPr>
        <w:fldChar w:fldCharType="end"/>
      </w:r>
    </w:p>
    <w:p w14:paraId="708BCD06">
      <w:pPr>
        <w:pStyle w:val="15"/>
        <w:tabs>
          <w:tab w:val="left" w:pos="880"/>
          <w:tab w:val="right" w:leader="dot" w:pos="10193"/>
        </w:tabs>
        <w:rPr>
          <w:rFonts w:ascii="Arial" w:hAnsi="Arial" w:cs="Arial" w:eastAsiaTheme="minorEastAsia"/>
          <w:sz w:val="22"/>
          <w:szCs w:val="22"/>
          <w:lang w:val="pt-BR" w:eastAsia="pt-BR" w:bidi="ar-SA"/>
        </w:rPr>
      </w:pPr>
      <w:r>
        <w:fldChar w:fldCharType="begin"/>
      </w:r>
      <w:r>
        <w:instrText xml:space="preserve"> HYPERLINK \l "_Toc151457799" </w:instrText>
      </w:r>
      <w:r>
        <w:fldChar w:fldCharType="separate"/>
      </w:r>
      <w:r>
        <w:rPr>
          <w:rStyle w:val="9"/>
          <w:rFonts w:ascii="Arial" w:hAnsi="Arial" w:eastAsia="Gill Sans MT" w:cs="Arial"/>
          <w:spacing w:val="-2"/>
          <w:w w:val="115"/>
          <w:sz w:val="22"/>
          <w:szCs w:val="22"/>
          <w:lang w:val="pt-BR"/>
        </w:rPr>
        <w:t>21.</w:t>
      </w:r>
      <w:r>
        <w:rPr>
          <w:rFonts w:ascii="Arial" w:hAnsi="Arial" w:cs="Arial" w:eastAsiaTheme="minorEastAsia"/>
          <w:sz w:val="22"/>
          <w:szCs w:val="22"/>
          <w:lang w:val="pt-BR" w:eastAsia="pt-BR" w:bidi="ar-SA"/>
        </w:rPr>
        <w:tab/>
      </w:r>
      <w:r>
        <w:rPr>
          <w:rStyle w:val="9"/>
          <w:rFonts w:ascii="Arial" w:hAnsi="Arial" w:eastAsia="Gill Sans MT" w:cs="Arial"/>
          <w:spacing w:val="-3"/>
          <w:sz w:val="22"/>
          <w:szCs w:val="22"/>
          <w:lang w:val="pt-BR"/>
        </w:rPr>
        <w:t>DA FORMAÇÃO DO CADASTRO DE RESERVA</w:t>
      </w:r>
      <w:r>
        <w:rPr>
          <w:rFonts w:ascii="Arial" w:hAnsi="Arial" w:cs="Arial"/>
          <w:sz w:val="22"/>
          <w:szCs w:val="22"/>
          <w:lang w:val="pt-BR"/>
        </w:rPr>
        <w:tab/>
      </w:r>
      <w:r>
        <w:rPr>
          <w:rFonts w:ascii="Arial" w:hAnsi="Arial" w:cs="Arial"/>
          <w:sz w:val="22"/>
          <w:szCs w:val="22"/>
          <w:lang w:val="pt-BR"/>
        </w:rPr>
        <w:fldChar w:fldCharType="begin"/>
      </w:r>
      <w:r>
        <w:rPr>
          <w:rFonts w:ascii="Arial" w:hAnsi="Arial" w:cs="Arial"/>
          <w:sz w:val="22"/>
          <w:szCs w:val="22"/>
          <w:lang w:val="pt-BR"/>
        </w:rPr>
        <w:instrText xml:space="preserve"> PAGEREF _Toc151457799 \h </w:instrText>
      </w:r>
      <w:r>
        <w:rPr>
          <w:rFonts w:ascii="Arial" w:hAnsi="Arial" w:cs="Arial"/>
          <w:sz w:val="22"/>
          <w:szCs w:val="22"/>
          <w:lang w:val="pt-BR"/>
        </w:rPr>
        <w:fldChar w:fldCharType="separate"/>
      </w:r>
      <w:r>
        <w:rPr>
          <w:rFonts w:ascii="Arial" w:hAnsi="Arial" w:cs="Arial"/>
          <w:sz w:val="22"/>
          <w:szCs w:val="22"/>
          <w:lang w:val="pt-BR"/>
        </w:rPr>
        <w:t>32</w:t>
      </w:r>
      <w:r>
        <w:rPr>
          <w:rFonts w:ascii="Arial" w:hAnsi="Arial" w:cs="Arial"/>
          <w:sz w:val="22"/>
          <w:szCs w:val="22"/>
          <w:lang w:val="pt-BR"/>
        </w:rPr>
        <w:fldChar w:fldCharType="end"/>
      </w:r>
      <w:r>
        <w:rPr>
          <w:rFonts w:ascii="Arial" w:hAnsi="Arial" w:cs="Arial"/>
          <w:sz w:val="22"/>
          <w:szCs w:val="22"/>
          <w:lang w:val="pt-BR"/>
        </w:rPr>
        <w:fldChar w:fldCharType="end"/>
      </w:r>
    </w:p>
    <w:p w14:paraId="3E455A70">
      <w:pPr>
        <w:pStyle w:val="15"/>
        <w:tabs>
          <w:tab w:val="left" w:pos="880"/>
          <w:tab w:val="right" w:leader="dot" w:pos="10193"/>
        </w:tabs>
        <w:rPr>
          <w:rFonts w:ascii="Arial" w:hAnsi="Arial" w:cs="Arial" w:eastAsiaTheme="minorEastAsia"/>
          <w:sz w:val="22"/>
          <w:szCs w:val="22"/>
          <w:lang w:val="pt-BR" w:eastAsia="pt-BR" w:bidi="ar-SA"/>
        </w:rPr>
      </w:pPr>
      <w:r>
        <w:fldChar w:fldCharType="begin"/>
      </w:r>
      <w:r>
        <w:instrText xml:space="preserve"> HYPERLINK \l "_Toc151457800" </w:instrText>
      </w:r>
      <w:r>
        <w:fldChar w:fldCharType="separate"/>
      </w:r>
      <w:r>
        <w:rPr>
          <w:rStyle w:val="9"/>
          <w:rFonts w:ascii="Arial" w:hAnsi="Arial" w:eastAsia="Gill Sans MT" w:cs="Arial"/>
          <w:spacing w:val="-2"/>
          <w:w w:val="115"/>
          <w:sz w:val="22"/>
          <w:szCs w:val="22"/>
          <w:lang w:val="pt-BR"/>
        </w:rPr>
        <w:t>22.</w:t>
      </w:r>
      <w:r>
        <w:rPr>
          <w:rFonts w:ascii="Arial" w:hAnsi="Arial" w:cs="Arial" w:eastAsiaTheme="minorEastAsia"/>
          <w:sz w:val="22"/>
          <w:szCs w:val="22"/>
          <w:lang w:val="pt-BR" w:eastAsia="pt-BR" w:bidi="ar-SA"/>
        </w:rPr>
        <w:tab/>
      </w:r>
      <w:r>
        <w:rPr>
          <w:rStyle w:val="9"/>
          <w:rFonts w:ascii="Arial" w:hAnsi="Arial" w:eastAsia="Gill Sans MT" w:cs="Arial"/>
          <w:spacing w:val="-3"/>
          <w:sz w:val="22"/>
          <w:szCs w:val="22"/>
          <w:lang w:val="pt-BR"/>
        </w:rPr>
        <w:t>RECURSOS</w:t>
      </w:r>
      <w:r>
        <w:rPr>
          <w:rFonts w:ascii="Arial" w:hAnsi="Arial" w:cs="Arial"/>
          <w:sz w:val="22"/>
          <w:szCs w:val="22"/>
          <w:lang w:val="pt-BR"/>
        </w:rPr>
        <w:tab/>
      </w:r>
      <w:r>
        <w:rPr>
          <w:rFonts w:ascii="Arial" w:hAnsi="Arial" w:cs="Arial"/>
          <w:sz w:val="22"/>
          <w:szCs w:val="22"/>
          <w:lang w:val="pt-BR"/>
        </w:rPr>
        <w:fldChar w:fldCharType="begin"/>
      </w:r>
      <w:r>
        <w:rPr>
          <w:rFonts w:ascii="Arial" w:hAnsi="Arial" w:cs="Arial"/>
          <w:sz w:val="22"/>
          <w:szCs w:val="22"/>
          <w:lang w:val="pt-BR"/>
        </w:rPr>
        <w:instrText xml:space="preserve"> PAGEREF _Toc151457800 \h </w:instrText>
      </w:r>
      <w:r>
        <w:rPr>
          <w:rFonts w:ascii="Arial" w:hAnsi="Arial" w:cs="Arial"/>
          <w:sz w:val="22"/>
          <w:szCs w:val="22"/>
          <w:lang w:val="pt-BR"/>
        </w:rPr>
        <w:fldChar w:fldCharType="separate"/>
      </w:r>
      <w:r>
        <w:rPr>
          <w:rFonts w:ascii="Arial" w:hAnsi="Arial" w:cs="Arial"/>
          <w:sz w:val="22"/>
          <w:szCs w:val="22"/>
          <w:lang w:val="pt-BR"/>
        </w:rPr>
        <w:t>33</w:t>
      </w:r>
      <w:r>
        <w:rPr>
          <w:rFonts w:ascii="Arial" w:hAnsi="Arial" w:cs="Arial"/>
          <w:sz w:val="22"/>
          <w:szCs w:val="22"/>
          <w:lang w:val="pt-BR"/>
        </w:rPr>
        <w:fldChar w:fldCharType="end"/>
      </w:r>
      <w:r>
        <w:rPr>
          <w:rFonts w:ascii="Arial" w:hAnsi="Arial" w:cs="Arial"/>
          <w:sz w:val="22"/>
          <w:szCs w:val="22"/>
          <w:lang w:val="pt-BR"/>
        </w:rPr>
        <w:fldChar w:fldCharType="end"/>
      </w:r>
    </w:p>
    <w:p w14:paraId="05AB4CE3">
      <w:pPr>
        <w:pStyle w:val="15"/>
        <w:tabs>
          <w:tab w:val="left" w:pos="880"/>
          <w:tab w:val="right" w:leader="dot" w:pos="10193"/>
        </w:tabs>
        <w:rPr>
          <w:rFonts w:ascii="Arial" w:hAnsi="Arial" w:cs="Arial" w:eastAsiaTheme="minorEastAsia"/>
          <w:sz w:val="22"/>
          <w:szCs w:val="22"/>
          <w:lang w:val="pt-BR" w:eastAsia="pt-BR" w:bidi="ar-SA"/>
        </w:rPr>
      </w:pPr>
      <w:r>
        <w:fldChar w:fldCharType="begin"/>
      </w:r>
      <w:r>
        <w:instrText xml:space="preserve"> HYPERLINK \l "_Toc151457801" </w:instrText>
      </w:r>
      <w:r>
        <w:fldChar w:fldCharType="separate"/>
      </w:r>
      <w:r>
        <w:rPr>
          <w:rStyle w:val="9"/>
          <w:rFonts w:ascii="Arial" w:hAnsi="Arial" w:eastAsia="Gill Sans MT" w:cs="Arial"/>
          <w:spacing w:val="-2"/>
          <w:w w:val="115"/>
          <w:sz w:val="22"/>
          <w:szCs w:val="22"/>
          <w:lang w:val="pt-BR"/>
        </w:rPr>
        <w:t>23.</w:t>
      </w:r>
      <w:r>
        <w:rPr>
          <w:rFonts w:ascii="Arial" w:hAnsi="Arial" w:cs="Arial" w:eastAsiaTheme="minorEastAsia"/>
          <w:sz w:val="22"/>
          <w:szCs w:val="22"/>
          <w:lang w:val="pt-BR" w:eastAsia="pt-BR" w:bidi="ar-SA"/>
        </w:rPr>
        <w:tab/>
      </w:r>
      <w:r>
        <w:rPr>
          <w:rStyle w:val="9"/>
          <w:rFonts w:ascii="Arial" w:hAnsi="Arial" w:eastAsia="Gill Sans MT" w:cs="Arial"/>
          <w:spacing w:val="-3"/>
          <w:sz w:val="22"/>
          <w:szCs w:val="22"/>
          <w:lang w:val="pt-BR"/>
        </w:rPr>
        <w:t>DAS INFRAÇÕES ADMINISTRATIVAS E SANÇÕES</w:t>
      </w:r>
      <w:r>
        <w:rPr>
          <w:rFonts w:ascii="Arial" w:hAnsi="Arial" w:cs="Arial"/>
          <w:sz w:val="22"/>
          <w:szCs w:val="22"/>
          <w:lang w:val="pt-BR"/>
        </w:rPr>
        <w:tab/>
      </w:r>
      <w:r>
        <w:rPr>
          <w:rFonts w:ascii="Arial" w:hAnsi="Arial" w:cs="Arial"/>
          <w:sz w:val="22"/>
          <w:szCs w:val="22"/>
          <w:lang w:val="pt-BR"/>
        </w:rPr>
        <w:fldChar w:fldCharType="begin"/>
      </w:r>
      <w:r>
        <w:rPr>
          <w:rFonts w:ascii="Arial" w:hAnsi="Arial" w:cs="Arial"/>
          <w:sz w:val="22"/>
          <w:szCs w:val="22"/>
          <w:lang w:val="pt-BR"/>
        </w:rPr>
        <w:instrText xml:space="preserve"> PAGEREF _Toc151457801 \h </w:instrText>
      </w:r>
      <w:r>
        <w:rPr>
          <w:rFonts w:ascii="Arial" w:hAnsi="Arial" w:cs="Arial"/>
          <w:sz w:val="22"/>
          <w:szCs w:val="22"/>
          <w:lang w:val="pt-BR"/>
        </w:rPr>
        <w:fldChar w:fldCharType="separate"/>
      </w:r>
      <w:r>
        <w:rPr>
          <w:rFonts w:ascii="Arial" w:hAnsi="Arial" w:cs="Arial"/>
          <w:sz w:val="22"/>
          <w:szCs w:val="22"/>
          <w:lang w:val="pt-BR"/>
        </w:rPr>
        <w:t>35</w:t>
      </w:r>
      <w:r>
        <w:rPr>
          <w:rFonts w:ascii="Arial" w:hAnsi="Arial" w:cs="Arial"/>
          <w:sz w:val="22"/>
          <w:szCs w:val="22"/>
          <w:lang w:val="pt-BR"/>
        </w:rPr>
        <w:fldChar w:fldCharType="end"/>
      </w:r>
      <w:r>
        <w:rPr>
          <w:rFonts w:ascii="Arial" w:hAnsi="Arial" w:cs="Arial"/>
          <w:sz w:val="22"/>
          <w:szCs w:val="22"/>
          <w:lang w:val="pt-BR"/>
        </w:rPr>
        <w:fldChar w:fldCharType="end"/>
      </w:r>
    </w:p>
    <w:p w14:paraId="17B15DE9">
      <w:pPr>
        <w:pStyle w:val="15"/>
        <w:tabs>
          <w:tab w:val="left" w:pos="880"/>
          <w:tab w:val="right" w:leader="dot" w:pos="10193"/>
        </w:tabs>
        <w:rPr>
          <w:rFonts w:ascii="Arial" w:hAnsi="Arial" w:cs="Arial" w:eastAsiaTheme="minorEastAsia"/>
          <w:sz w:val="22"/>
          <w:szCs w:val="22"/>
          <w:lang w:val="pt-BR" w:eastAsia="pt-BR" w:bidi="ar-SA"/>
        </w:rPr>
      </w:pPr>
      <w:r>
        <w:fldChar w:fldCharType="begin"/>
      </w:r>
      <w:r>
        <w:instrText xml:space="preserve"> HYPERLINK \l "_Toc151457802" </w:instrText>
      </w:r>
      <w:r>
        <w:fldChar w:fldCharType="separate"/>
      </w:r>
      <w:r>
        <w:rPr>
          <w:rStyle w:val="9"/>
          <w:rFonts w:ascii="Arial" w:hAnsi="Arial" w:eastAsia="Gill Sans MT" w:cs="Arial"/>
          <w:spacing w:val="-2"/>
          <w:w w:val="115"/>
          <w:sz w:val="22"/>
          <w:szCs w:val="22"/>
          <w:lang w:val="pt-BR"/>
        </w:rPr>
        <w:t>24.</w:t>
      </w:r>
      <w:r>
        <w:rPr>
          <w:rFonts w:ascii="Arial" w:hAnsi="Arial" w:cs="Arial" w:eastAsiaTheme="minorEastAsia"/>
          <w:sz w:val="22"/>
          <w:szCs w:val="22"/>
          <w:lang w:val="pt-BR" w:eastAsia="pt-BR" w:bidi="ar-SA"/>
        </w:rPr>
        <w:tab/>
      </w:r>
      <w:r>
        <w:rPr>
          <w:rStyle w:val="9"/>
          <w:rFonts w:ascii="Arial" w:hAnsi="Arial" w:eastAsia="Gill Sans MT" w:cs="Arial"/>
          <w:spacing w:val="-3"/>
          <w:sz w:val="22"/>
          <w:szCs w:val="22"/>
          <w:lang w:val="pt-BR"/>
        </w:rPr>
        <w:t>INSTRUMENTO DE AJUSTE</w:t>
      </w:r>
      <w:r>
        <w:rPr>
          <w:rFonts w:ascii="Arial" w:hAnsi="Arial" w:cs="Arial"/>
          <w:sz w:val="22"/>
          <w:szCs w:val="22"/>
          <w:lang w:val="pt-BR"/>
        </w:rPr>
        <w:tab/>
      </w:r>
      <w:r>
        <w:rPr>
          <w:rFonts w:ascii="Arial" w:hAnsi="Arial" w:cs="Arial"/>
          <w:sz w:val="22"/>
          <w:szCs w:val="22"/>
          <w:lang w:val="pt-BR"/>
        </w:rPr>
        <w:fldChar w:fldCharType="begin"/>
      </w:r>
      <w:r>
        <w:rPr>
          <w:rFonts w:ascii="Arial" w:hAnsi="Arial" w:cs="Arial"/>
          <w:sz w:val="22"/>
          <w:szCs w:val="22"/>
          <w:lang w:val="pt-BR"/>
        </w:rPr>
        <w:instrText xml:space="preserve"> PAGEREF _Toc151457802 \h </w:instrText>
      </w:r>
      <w:r>
        <w:rPr>
          <w:rFonts w:ascii="Arial" w:hAnsi="Arial" w:cs="Arial"/>
          <w:sz w:val="22"/>
          <w:szCs w:val="22"/>
          <w:lang w:val="pt-BR"/>
        </w:rPr>
        <w:fldChar w:fldCharType="separate"/>
      </w:r>
      <w:r>
        <w:rPr>
          <w:rFonts w:ascii="Arial" w:hAnsi="Arial" w:cs="Arial"/>
          <w:sz w:val="22"/>
          <w:szCs w:val="22"/>
          <w:lang w:val="pt-BR"/>
        </w:rPr>
        <w:t>38</w:t>
      </w:r>
      <w:r>
        <w:rPr>
          <w:rFonts w:ascii="Arial" w:hAnsi="Arial" w:cs="Arial"/>
          <w:sz w:val="22"/>
          <w:szCs w:val="22"/>
          <w:lang w:val="pt-BR"/>
        </w:rPr>
        <w:fldChar w:fldCharType="end"/>
      </w:r>
      <w:r>
        <w:rPr>
          <w:rFonts w:ascii="Arial" w:hAnsi="Arial" w:cs="Arial"/>
          <w:sz w:val="22"/>
          <w:szCs w:val="22"/>
          <w:lang w:val="pt-BR"/>
        </w:rPr>
        <w:fldChar w:fldCharType="end"/>
      </w:r>
    </w:p>
    <w:p w14:paraId="0A6C6507">
      <w:pPr>
        <w:pStyle w:val="15"/>
        <w:tabs>
          <w:tab w:val="left" w:pos="880"/>
          <w:tab w:val="right" w:leader="dot" w:pos="10193"/>
        </w:tabs>
        <w:rPr>
          <w:rFonts w:ascii="Arial" w:hAnsi="Arial" w:cs="Arial" w:eastAsiaTheme="minorEastAsia"/>
          <w:sz w:val="22"/>
          <w:szCs w:val="22"/>
          <w:lang w:val="pt-BR" w:eastAsia="pt-BR" w:bidi="ar-SA"/>
        </w:rPr>
      </w:pPr>
      <w:r>
        <w:fldChar w:fldCharType="begin"/>
      </w:r>
      <w:r>
        <w:instrText xml:space="preserve"> HYPERLINK \l "_Toc151457803" </w:instrText>
      </w:r>
      <w:r>
        <w:fldChar w:fldCharType="separate"/>
      </w:r>
      <w:r>
        <w:rPr>
          <w:rStyle w:val="9"/>
          <w:rFonts w:ascii="Arial" w:hAnsi="Arial" w:eastAsia="Gill Sans MT" w:cs="Arial"/>
          <w:spacing w:val="-2"/>
          <w:w w:val="115"/>
          <w:sz w:val="22"/>
          <w:szCs w:val="22"/>
          <w:lang w:val="pt-BR"/>
        </w:rPr>
        <w:t>25.</w:t>
      </w:r>
      <w:r>
        <w:rPr>
          <w:rFonts w:ascii="Arial" w:hAnsi="Arial" w:cs="Arial" w:eastAsiaTheme="minorEastAsia"/>
          <w:sz w:val="22"/>
          <w:szCs w:val="22"/>
          <w:lang w:val="pt-BR" w:eastAsia="pt-BR" w:bidi="ar-SA"/>
        </w:rPr>
        <w:tab/>
      </w:r>
      <w:r>
        <w:rPr>
          <w:rStyle w:val="9"/>
          <w:rFonts w:ascii="Arial" w:hAnsi="Arial" w:eastAsia="Gill Sans MT" w:cs="Arial"/>
          <w:spacing w:val="-3"/>
          <w:sz w:val="22"/>
          <w:szCs w:val="22"/>
          <w:lang w:val="pt-BR"/>
        </w:rPr>
        <w:t>DA IMPUGNAÇÃO AO EDITAL E DO PEDIDO DE ESCLARECIMENTO</w:t>
      </w:r>
      <w:r>
        <w:rPr>
          <w:rFonts w:ascii="Arial" w:hAnsi="Arial" w:cs="Arial"/>
          <w:sz w:val="22"/>
          <w:szCs w:val="22"/>
          <w:lang w:val="pt-BR"/>
        </w:rPr>
        <w:tab/>
      </w:r>
      <w:r>
        <w:rPr>
          <w:rFonts w:ascii="Arial" w:hAnsi="Arial" w:cs="Arial"/>
          <w:sz w:val="22"/>
          <w:szCs w:val="22"/>
          <w:lang w:val="pt-BR"/>
        </w:rPr>
        <w:fldChar w:fldCharType="begin"/>
      </w:r>
      <w:r>
        <w:rPr>
          <w:rFonts w:ascii="Arial" w:hAnsi="Arial" w:cs="Arial"/>
          <w:sz w:val="22"/>
          <w:szCs w:val="22"/>
          <w:lang w:val="pt-BR"/>
        </w:rPr>
        <w:instrText xml:space="preserve"> PAGEREF _Toc151457803 \h </w:instrText>
      </w:r>
      <w:r>
        <w:rPr>
          <w:rFonts w:ascii="Arial" w:hAnsi="Arial" w:cs="Arial"/>
          <w:sz w:val="22"/>
          <w:szCs w:val="22"/>
          <w:lang w:val="pt-BR"/>
        </w:rPr>
        <w:fldChar w:fldCharType="separate"/>
      </w:r>
      <w:r>
        <w:rPr>
          <w:rFonts w:ascii="Arial" w:hAnsi="Arial" w:cs="Arial"/>
          <w:sz w:val="22"/>
          <w:szCs w:val="22"/>
          <w:lang w:val="pt-BR"/>
        </w:rPr>
        <w:t>38</w:t>
      </w:r>
      <w:r>
        <w:rPr>
          <w:rFonts w:ascii="Arial" w:hAnsi="Arial" w:cs="Arial"/>
          <w:sz w:val="22"/>
          <w:szCs w:val="22"/>
          <w:lang w:val="pt-BR"/>
        </w:rPr>
        <w:fldChar w:fldCharType="end"/>
      </w:r>
      <w:r>
        <w:rPr>
          <w:rFonts w:ascii="Arial" w:hAnsi="Arial" w:cs="Arial"/>
          <w:sz w:val="22"/>
          <w:szCs w:val="22"/>
          <w:lang w:val="pt-BR"/>
        </w:rPr>
        <w:fldChar w:fldCharType="end"/>
      </w:r>
    </w:p>
    <w:p w14:paraId="7B6C658D">
      <w:pPr>
        <w:pStyle w:val="15"/>
        <w:tabs>
          <w:tab w:val="left" w:pos="880"/>
          <w:tab w:val="right" w:leader="dot" w:pos="10193"/>
        </w:tabs>
        <w:rPr>
          <w:rFonts w:asciiTheme="minorHAnsi" w:hAnsiTheme="minorHAnsi" w:eastAsiaTheme="minorEastAsia" w:cstheme="minorBidi"/>
          <w:sz w:val="22"/>
          <w:szCs w:val="22"/>
          <w:lang w:val="pt-BR" w:eastAsia="pt-BR" w:bidi="ar-SA"/>
        </w:rPr>
      </w:pPr>
      <w:r>
        <w:fldChar w:fldCharType="begin"/>
      </w:r>
      <w:r>
        <w:instrText xml:space="preserve"> HYPERLINK \l "_Toc151457804" </w:instrText>
      </w:r>
      <w:r>
        <w:fldChar w:fldCharType="separate"/>
      </w:r>
      <w:r>
        <w:rPr>
          <w:rStyle w:val="9"/>
          <w:rFonts w:ascii="Arial" w:hAnsi="Arial" w:eastAsia="Gill Sans MT" w:cs="Arial"/>
          <w:spacing w:val="-2"/>
          <w:w w:val="115"/>
          <w:sz w:val="22"/>
          <w:szCs w:val="22"/>
          <w:lang w:val="pt-BR"/>
        </w:rPr>
        <w:t>26.</w:t>
      </w:r>
      <w:r>
        <w:rPr>
          <w:rFonts w:ascii="Arial" w:hAnsi="Arial" w:cs="Arial" w:eastAsiaTheme="minorEastAsia"/>
          <w:sz w:val="22"/>
          <w:szCs w:val="22"/>
          <w:lang w:val="pt-BR" w:eastAsia="pt-BR" w:bidi="ar-SA"/>
        </w:rPr>
        <w:tab/>
      </w:r>
      <w:r>
        <w:rPr>
          <w:rStyle w:val="9"/>
          <w:rFonts w:ascii="Arial" w:hAnsi="Arial" w:eastAsia="Gill Sans MT" w:cs="Arial"/>
          <w:spacing w:val="-3"/>
          <w:sz w:val="22"/>
          <w:szCs w:val="22"/>
          <w:lang w:val="pt-BR"/>
        </w:rPr>
        <w:t>DAS DISPOSIÇÕES GERAIS</w:t>
      </w:r>
      <w:r>
        <w:rPr>
          <w:rFonts w:ascii="Arial" w:hAnsi="Arial" w:cs="Arial"/>
          <w:sz w:val="22"/>
          <w:szCs w:val="22"/>
          <w:lang w:val="pt-BR"/>
        </w:rPr>
        <w:tab/>
      </w:r>
      <w:r>
        <w:rPr>
          <w:rFonts w:ascii="Arial" w:hAnsi="Arial" w:cs="Arial"/>
          <w:sz w:val="22"/>
          <w:szCs w:val="22"/>
          <w:lang w:val="pt-BR"/>
        </w:rPr>
        <w:fldChar w:fldCharType="begin"/>
      </w:r>
      <w:r>
        <w:rPr>
          <w:rFonts w:ascii="Arial" w:hAnsi="Arial" w:cs="Arial"/>
          <w:sz w:val="22"/>
          <w:szCs w:val="22"/>
          <w:lang w:val="pt-BR"/>
        </w:rPr>
        <w:instrText xml:space="preserve"> PAGEREF _Toc151457804 \h </w:instrText>
      </w:r>
      <w:r>
        <w:rPr>
          <w:rFonts w:ascii="Arial" w:hAnsi="Arial" w:cs="Arial"/>
          <w:sz w:val="22"/>
          <w:szCs w:val="22"/>
          <w:lang w:val="pt-BR"/>
        </w:rPr>
        <w:fldChar w:fldCharType="separate"/>
      </w:r>
      <w:r>
        <w:rPr>
          <w:rFonts w:ascii="Arial" w:hAnsi="Arial" w:cs="Arial"/>
          <w:sz w:val="22"/>
          <w:szCs w:val="22"/>
          <w:lang w:val="pt-BR"/>
        </w:rPr>
        <w:t>39</w:t>
      </w:r>
      <w:r>
        <w:rPr>
          <w:rFonts w:ascii="Arial" w:hAnsi="Arial" w:cs="Arial"/>
          <w:sz w:val="22"/>
          <w:szCs w:val="22"/>
          <w:lang w:val="pt-BR"/>
        </w:rPr>
        <w:fldChar w:fldCharType="end"/>
      </w:r>
      <w:r>
        <w:rPr>
          <w:rFonts w:ascii="Arial" w:hAnsi="Arial" w:cs="Arial"/>
          <w:sz w:val="22"/>
          <w:szCs w:val="22"/>
          <w:lang w:val="pt-BR"/>
        </w:rPr>
        <w:fldChar w:fldCharType="end"/>
      </w:r>
    </w:p>
    <w:p w14:paraId="2B8AB726">
      <w:pPr>
        <w:tabs>
          <w:tab w:val="right" w:leader="dot" w:pos="9498"/>
          <w:tab w:val="right" w:leader="dot" w:pos="9639"/>
          <w:tab w:val="right" w:leader="dot" w:pos="9781"/>
        </w:tabs>
        <w:spacing w:before="113" w:line="360" w:lineRule="auto"/>
        <w:ind w:right="284"/>
        <w:contextualSpacing/>
        <w:rPr>
          <w:rFonts w:ascii="Arial" w:hAnsi="Arial" w:cs="Arial"/>
          <w:color w:val="405CA1"/>
          <w:lang w:val="pt-BR"/>
        </w:rPr>
      </w:pPr>
      <w:r>
        <w:rPr>
          <w:rFonts w:ascii="Arial" w:hAnsi="Arial" w:cs="Arial"/>
          <w:color w:val="405CA1"/>
          <w:sz w:val="20"/>
          <w:szCs w:val="20"/>
          <w:lang w:val="pt-BR"/>
        </w:rPr>
        <w:fldChar w:fldCharType="end"/>
      </w:r>
    </w:p>
    <w:p w14:paraId="165D1E33">
      <w:pPr>
        <w:pStyle w:val="2"/>
        <w:numPr>
          <w:ilvl w:val="0"/>
          <w:numId w:val="4"/>
        </w:numPr>
        <w:tabs>
          <w:tab w:val="left" w:pos="709"/>
        </w:tabs>
        <w:spacing w:before="113" w:line="360" w:lineRule="auto"/>
        <w:ind w:left="284" w:right="747" w:firstLine="0"/>
        <w:contextualSpacing/>
        <w:jc w:val="both"/>
        <w:rPr>
          <w:rFonts w:ascii="Arial" w:hAnsi="Arial" w:cs="Arial"/>
          <w:lang w:val="pt-BR"/>
        </w:rPr>
      </w:pPr>
      <w:bookmarkStart w:id="21" w:name="_Toc151457779"/>
      <w:r>
        <w:rPr>
          <w:rFonts w:ascii="Arial" w:hAnsi="Arial" w:cs="Arial"/>
          <w:spacing w:val="-4"/>
          <w:lang w:val="pt-BR"/>
        </w:rPr>
        <w:t>PREÂMBULO</w:t>
      </w:r>
      <w:bookmarkEnd w:id="21"/>
    </w:p>
    <w:p w14:paraId="2982E279">
      <w:pPr>
        <w:numPr>
          <w:ilvl w:val="1"/>
          <w:numId w:val="4"/>
        </w:numPr>
        <w:tabs>
          <w:tab w:val="left" w:pos="709"/>
        </w:tabs>
        <w:spacing w:before="113" w:line="360" w:lineRule="auto"/>
        <w:ind w:left="284" w:right="747" w:firstLine="0"/>
        <w:contextualSpacing/>
        <w:jc w:val="both"/>
        <w:rPr>
          <w:rFonts w:ascii="Arial" w:hAnsi="Arial" w:cs="Arial"/>
          <w:w w:val="110"/>
          <w:lang w:val="pt-BR"/>
        </w:rPr>
      </w:pPr>
      <w:r>
        <w:rPr>
          <w:rFonts w:ascii="Arial" w:hAnsi="Arial" w:cs="Arial"/>
          <w:w w:val="110"/>
          <w:lang w:val="pt-BR"/>
        </w:rPr>
        <w:t xml:space="preserve">Torna-se público para conhecimento dos interessados que o MUNICÍPIO DE NOVA FRIBURGO/RJ, sediado na Av. Alberto Braune, 225, Centro, Nova Friburgo, RJ, realizará licitação para </w:t>
      </w:r>
      <w:r>
        <w:rPr>
          <w:rFonts w:ascii="Arial" w:hAnsi="Arial" w:cs="Arial"/>
          <w:b/>
          <w:bCs/>
          <w:w w:val="110"/>
          <w:lang w:val="pt-BR"/>
        </w:rPr>
        <w:t>REGISTRO DE PREÇOS</w:t>
      </w:r>
      <w:r>
        <w:rPr>
          <w:rFonts w:ascii="Arial" w:hAnsi="Arial" w:cs="Arial"/>
          <w:w w:val="110"/>
          <w:lang w:val="pt-BR"/>
        </w:rPr>
        <w:t xml:space="preserve"> com participação </w:t>
      </w:r>
      <w:r>
        <w:rPr>
          <w:rFonts w:ascii="Arial" w:hAnsi="Arial" w:cs="Arial"/>
          <w:b/>
          <w:bCs/>
          <w:w w:val="110"/>
          <w:lang w:val="pt-BR"/>
        </w:rPr>
        <w:t>AMPLA</w:t>
      </w:r>
      <w:r>
        <w:rPr>
          <w:rFonts w:ascii="Arial" w:hAnsi="Arial" w:cs="Arial"/>
          <w:b/>
          <w:spacing w:val="-3"/>
          <w:w w:val="110"/>
          <w:lang w:val="pt-BR"/>
        </w:rPr>
        <w:t>,</w:t>
      </w:r>
      <w:r>
        <w:rPr>
          <w:rFonts w:ascii="Arial" w:hAnsi="Arial" w:cs="Arial"/>
          <w:w w:val="110"/>
          <w:lang w:val="pt-BR"/>
        </w:rPr>
        <w:t xml:space="preserve"> na modalidade </w:t>
      </w:r>
      <w:r>
        <w:rPr>
          <w:rFonts w:ascii="Arial" w:hAnsi="Arial" w:cs="Arial"/>
          <w:b/>
          <w:w w:val="110"/>
          <w:lang w:val="pt-BR"/>
        </w:rPr>
        <w:t>PREGÃO</w:t>
      </w:r>
      <w:r>
        <w:rPr>
          <w:rFonts w:ascii="Arial" w:hAnsi="Arial" w:cs="Arial"/>
          <w:w w:val="110"/>
          <w:lang w:val="pt-BR"/>
        </w:rPr>
        <w:t xml:space="preserve">, na </w:t>
      </w:r>
      <w:r>
        <w:rPr>
          <w:rFonts w:ascii="Arial" w:hAnsi="Arial" w:cs="Arial"/>
          <w:b/>
          <w:spacing w:val="-3"/>
          <w:w w:val="110"/>
          <w:lang w:val="pt-BR"/>
        </w:rPr>
        <w:t>forma</w:t>
      </w:r>
      <w:r>
        <w:rPr>
          <w:rFonts w:ascii="Arial" w:hAnsi="Arial" w:cs="Arial"/>
          <w:w w:val="110"/>
          <w:lang w:val="pt-BR"/>
        </w:rPr>
        <w:t xml:space="preserve"> </w:t>
      </w:r>
      <w:r>
        <w:rPr>
          <w:rFonts w:ascii="Arial" w:hAnsi="Arial" w:cs="Arial"/>
          <w:b/>
          <w:w w:val="110"/>
          <w:lang w:val="pt-BR"/>
        </w:rPr>
        <w:t>ELETRÔNICA</w:t>
      </w:r>
      <w:r>
        <w:rPr>
          <w:rFonts w:ascii="Arial" w:hAnsi="Arial" w:cs="Arial"/>
          <w:w w:val="110"/>
          <w:lang w:val="pt-BR"/>
        </w:rPr>
        <w:t xml:space="preserve">, do tipo </w:t>
      </w:r>
      <w:r>
        <w:rPr>
          <w:rFonts w:ascii="Arial" w:hAnsi="Arial" w:cs="Arial"/>
          <w:b/>
          <w:w w:val="110"/>
          <w:lang w:val="pt-BR"/>
        </w:rPr>
        <w:t>MENOR PREÇO</w:t>
      </w:r>
      <w:r>
        <w:rPr>
          <w:rFonts w:ascii="Arial" w:hAnsi="Arial" w:cs="Arial"/>
          <w:w w:val="110"/>
          <w:lang w:val="pt-BR"/>
        </w:rPr>
        <w:t xml:space="preserve">, critério de julgamento </w:t>
      </w:r>
      <w:r>
        <w:rPr>
          <w:rFonts w:ascii="Arial" w:hAnsi="Arial" w:cs="Arial"/>
          <w:b/>
          <w:w w:val="110"/>
          <w:lang w:val="pt-BR"/>
        </w:rPr>
        <w:t>GLOBAL POR LOTE</w:t>
      </w:r>
      <w:r>
        <w:rPr>
          <w:rFonts w:ascii="Arial" w:hAnsi="Arial" w:cs="Arial"/>
          <w:w w:val="110"/>
          <w:lang w:val="pt-BR"/>
        </w:rPr>
        <w:t>, nos t</w:t>
      </w:r>
      <w:bookmarkStart w:id="149" w:name="_GoBack"/>
      <w:bookmarkEnd w:id="149"/>
      <w:r>
        <w:rPr>
          <w:rFonts w:ascii="Arial" w:hAnsi="Arial" w:cs="Arial"/>
          <w:w w:val="110"/>
          <w:lang w:val="pt-BR"/>
        </w:rPr>
        <w:t>ermos da Lei Federal n° 14.133 de 2021, com aplicação subsidiária, da Lei Complementar nº 123/06, Decreto Federal nº 11.462/2023, Instrução Normativa SEGES/ME nº 73/2022 e, ainda, de acordo com as condições estabelecidas neste Edital.</w:t>
      </w:r>
    </w:p>
    <w:p w14:paraId="45FF1F0F">
      <w:pPr>
        <w:pStyle w:val="10"/>
        <w:spacing w:before="113" w:line="360" w:lineRule="auto"/>
        <w:ind w:left="284" w:right="747"/>
        <w:contextualSpacing/>
        <w:rPr>
          <w:rFonts w:ascii="Arial" w:hAnsi="Arial" w:cs="Arial"/>
          <w:w w:val="110"/>
          <w:lang w:val="pt-BR"/>
        </w:rPr>
      </w:pPr>
    </w:p>
    <w:p w14:paraId="2AD40F39">
      <w:pPr>
        <w:pStyle w:val="10"/>
        <w:spacing w:before="113" w:line="360" w:lineRule="auto"/>
        <w:ind w:left="284" w:right="747"/>
        <w:contextualSpacing/>
        <w:rPr>
          <w:rFonts w:ascii="Arial" w:hAnsi="Arial" w:cs="Arial"/>
          <w:b/>
          <w:bCs/>
          <w:lang w:val="pt-BR"/>
        </w:rPr>
      </w:pPr>
      <w:r>
        <w:rPr>
          <w:rFonts w:ascii="Arial" w:hAnsi="Arial" w:cs="Arial"/>
          <w:b/>
          <w:bCs/>
          <w:w w:val="110"/>
          <w:lang w:val="pt-BR"/>
        </w:rPr>
        <w:t>Processo Administrativo nº 38.466/2025</w:t>
      </w:r>
    </w:p>
    <w:p w14:paraId="2458B515">
      <w:pPr>
        <w:pStyle w:val="10"/>
        <w:spacing w:before="113" w:line="360" w:lineRule="auto"/>
        <w:ind w:left="284" w:right="747"/>
        <w:contextualSpacing/>
        <w:rPr>
          <w:rFonts w:ascii="Arial" w:hAnsi="Arial" w:cs="Arial"/>
          <w:b/>
          <w:bCs/>
          <w:w w:val="115"/>
          <w:lang w:val="pt-BR"/>
        </w:rPr>
      </w:pPr>
      <w:r>
        <w:rPr>
          <w:rFonts w:ascii="Arial" w:hAnsi="Arial" w:cs="Arial"/>
          <w:b/>
          <w:bCs/>
          <w:w w:val="115"/>
          <w:lang w:val="pt-BR"/>
        </w:rPr>
        <w:t xml:space="preserve">Data da sessão: </w:t>
      </w:r>
      <w:r>
        <w:rPr>
          <w:rFonts w:hint="default" w:ascii="Arial" w:hAnsi="Arial" w:cs="Arial"/>
          <w:b/>
          <w:bCs/>
          <w:w w:val="115"/>
          <w:highlight w:val="none"/>
          <w:lang w:val="pt-BR"/>
        </w:rPr>
        <w:t>12/03/2026</w:t>
      </w:r>
      <w:r>
        <w:rPr>
          <w:rFonts w:ascii="Arial" w:hAnsi="Arial" w:cs="Arial"/>
          <w:b/>
          <w:bCs/>
          <w:w w:val="115"/>
          <w:highlight w:val="none"/>
          <w:lang w:val="pt-BR"/>
        </w:rPr>
        <w:t xml:space="preserve"> (quinta-feira)</w:t>
      </w:r>
    </w:p>
    <w:p w14:paraId="7A27A305">
      <w:pPr>
        <w:pStyle w:val="10"/>
        <w:spacing w:before="113" w:line="360" w:lineRule="auto"/>
        <w:ind w:left="284" w:right="747"/>
        <w:contextualSpacing/>
        <w:rPr>
          <w:rFonts w:ascii="Arial" w:hAnsi="Arial" w:cs="Arial"/>
          <w:b/>
          <w:bCs/>
          <w:w w:val="110"/>
          <w:lang w:val="pt-BR"/>
        </w:rPr>
      </w:pPr>
      <w:r>
        <w:rPr>
          <w:rFonts w:ascii="Arial" w:hAnsi="Arial" w:cs="Arial"/>
          <w:b/>
          <w:bCs/>
          <w:w w:val="110"/>
          <w:lang w:val="pt-BR"/>
        </w:rPr>
        <w:t xml:space="preserve">Horário: </w:t>
      </w:r>
      <w:r>
        <w:rPr>
          <w:rFonts w:ascii="Arial" w:hAnsi="Arial" w:cs="Arial"/>
          <w:b/>
          <w:bCs/>
          <w:w w:val="110"/>
          <w:highlight w:val="none"/>
          <w:lang w:val="pt-BR"/>
        </w:rPr>
        <w:t>10h</w:t>
      </w:r>
      <w:r>
        <w:rPr>
          <w:rFonts w:ascii="Arial" w:hAnsi="Arial" w:cs="Arial"/>
          <w:b/>
          <w:bCs/>
          <w:w w:val="110"/>
          <w:lang w:val="pt-BR"/>
        </w:rPr>
        <w:t xml:space="preserve"> (horário de Brasília) </w:t>
      </w:r>
    </w:p>
    <w:p w14:paraId="5DA5E017">
      <w:pPr>
        <w:pStyle w:val="10"/>
        <w:spacing w:before="113" w:line="360" w:lineRule="auto"/>
        <w:ind w:left="284" w:right="747"/>
        <w:contextualSpacing/>
        <w:rPr>
          <w:rFonts w:ascii="Arial" w:hAnsi="Arial" w:cs="Arial"/>
          <w:b/>
          <w:bCs/>
          <w:w w:val="110"/>
          <w:lang w:val="pt-BR"/>
        </w:rPr>
      </w:pPr>
      <w:r>
        <w:rPr>
          <w:rFonts w:ascii="Arial" w:hAnsi="Arial" w:cs="Arial"/>
          <w:b/>
          <w:bCs/>
          <w:w w:val="110"/>
          <w:lang w:val="pt-BR"/>
        </w:rPr>
        <w:t xml:space="preserve">Local: Portal de Compras do Governo Federal:  </w:t>
      </w:r>
      <w:r>
        <w:fldChar w:fldCharType="begin"/>
      </w:r>
      <w:r>
        <w:instrText xml:space="preserve"> HYPERLINK "http://www.gov.br/compras" </w:instrText>
      </w:r>
      <w:r>
        <w:fldChar w:fldCharType="separate"/>
      </w:r>
      <w:r>
        <w:rPr>
          <w:rStyle w:val="9"/>
          <w:rFonts w:ascii="Arial" w:hAnsi="Arial" w:cs="Arial"/>
          <w:b/>
          <w:bCs/>
          <w:lang w:val="pt-BR"/>
        </w:rPr>
        <w:t>www.gov.br/compras</w:t>
      </w:r>
      <w:r>
        <w:rPr>
          <w:rStyle w:val="9"/>
          <w:rFonts w:ascii="Arial" w:hAnsi="Arial" w:cs="Arial"/>
          <w:b/>
          <w:bCs/>
          <w:lang w:val="pt-BR"/>
        </w:rPr>
        <w:fldChar w:fldCharType="end"/>
      </w:r>
      <w:r>
        <w:rPr>
          <w:rFonts w:ascii="Arial" w:hAnsi="Arial" w:cs="Arial"/>
          <w:b/>
          <w:bCs/>
          <w:lang w:val="pt-BR"/>
        </w:rPr>
        <w:t xml:space="preserve"> </w:t>
      </w:r>
    </w:p>
    <w:p w14:paraId="3F92B423">
      <w:pPr>
        <w:pStyle w:val="10"/>
        <w:spacing w:before="113" w:line="360" w:lineRule="auto"/>
        <w:ind w:left="284" w:right="747"/>
        <w:contextualSpacing/>
        <w:rPr>
          <w:rFonts w:ascii="Arial" w:hAnsi="Arial" w:cs="Arial"/>
          <w:b/>
          <w:bCs/>
          <w:w w:val="110"/>
          <w:lang w:val="pt-BR"/>
        </w:rPr>
      </w:pPr>
      <w:r>
        <w:rPr>
          <w:rFonts w:ascii="Arial" w:hAnsi="Arial" w:cs="Arial"/>
          <w:b/>
          <w:bCs/>
          <w:w w:val="110"/>
          <w:lang w:val="pt-BR"/>
        </w:rPr>
        <w:t>UASG: 985867</w:t>
      </w:r>
    </w:p>
    <w:p w14:paraId="7A157E20">
      <w:pPr>
        <w:spacing w:before="113" w:line="360" w:lineRule="auto"/>
        <w:ind w:left="284" w:right="747"/>
        <w:contextualSpacing/>
        <w:jc w:val="center"/>
        <w:rPr>
          <w:rFonts w:ascii="Arial" w:hAnsi="Arial" w:cs="Arial"/>
          <w:color w:val="FF0000"/>
          <w:w w:val="110"/>
          <w:lang w:val="pt-BR"/>
        </w:rPr>
      </w:pPr>
      <w:r>
        <w:rPr>
          <w:rFonts w:ascii="Arial" w:hAnsi="Arial" w:cs="Arial"/>
          <w:color w:val="FF0000"/>
          <w:w w:val="110"/>
          <w:lang w:val="pt-BR"/>
        </w:rPr>
        <w:t xml:space="preserve"> </w:t>
      </w:r>
    </w:p>
    <w:p w14:paraId="2594828B">
      <w:pPr>
        <w:numPr>
          <w:ilvl w:val="1"/>
          <w:numId w:val="4"/>
        </w:numPr>
        <w:tabs>
          <w:tab w:val="left" w:pos="709"/>
        </w:tabs>
        <w:spacing w:before="113" w:line="360" w:lineRule="auto"/>
        <w:ind w:left="284" w:right="747" w:firstLine="0"/>
        <w:contextualSpacing/>
        <w:jc w:val="both"/>
        <w:rPr>
          <w:rFonts w:ascii="Arial" w:hAnsi="Arial" w:cs="Arial"/>
          <w:b/>
          <w:bCs/>
          <w:w w:val="110"/>
          <w:lang w:val="pt-BR"/>
        </w:rPr>
      </w:pPr>
      <w:r>
        <w:rPr>
          <w:rFonts w:ascii="Arial" w:hAnsi="Arial" w:cs="Arial"/>
          <w:b/>
          <w:bCs/>
          <w:w w:val="110"/>
          <w:lang w:val="pt-BR"/>
        </w:rPr>
        <w:t>-  ANEXOS DO EDITAL</w:t>
      </w:r>
    </w:p>
    <w:p w14:paraId="4D60DE25">
      <w:pPr>
        <w:pStyle w:val="10"/>
        <w:spacing w:before="113" w:line="360" w:lineRule="auto"/>
        <w:ind w:left="284" w:right="747"/>
        <w:contextualSpacing/>
        <w:rPr>
          <w:rFonts w:ascii="Arial" w:hAnsi="Arial" w:cs="Arial"/>
          <w:lang w:val="pt-BR"/>
        </w:rPr>
      </w:pPr>
      <w:r>
        <w:rPr>
          <w:rFonts w:ascii="Arial" w:hAnsi="Arial" w:cs="Arial"/>
          <w:w w:val="115"/>
          <w:lang w:val="pt-BR"/>
        </w:rPr>
        <w:t>Integram este edital os seguintes Anexos:</w:t>
      </w:r>
    </w:p>
    <w:p w14:paraId="18370E81">
      <w:pPr>
        <w:pStyle w:val="17"/>
        <w:tabs>
          <w:tab w:val="left" w:pos="248"/>
        </w:tabs>
        <w:spacing w:before="113" w:line="360" w:lineRule="auto"/>
        <w:ind w:left="284" w:right="747"/>
        <w:contextualSpacing/>
        <w:rPr>
          <w:rFonts w:ascii="Arial" w:hAnsi="Arial" w:cs="Arial"/>
          <w:w w:val="115"/>
          <w:lang w:val="pt-BR"/>
        </w:rPr>
      </w:pPr>
      <w:r>
        <w:rPr>
          <w:rFonts w:ascii="Arial" w:hAnsi="Arial" w:cs="Arial"/>
          <w:w w:val="115"/>
          <w:lang w:val="pt-BR"/>
        </w:rPr>
        <w:t>ANEXO I – Termo de Referência</w:t>
      </w:r>
    </w:p>
    <w:p w14:paraId="0274256C">
      <w:pPr>
        <w:pStyle w:val="17"/>
        <w:tabs>
          <w:tab w:val="left" w:pos="248"/>
        </w:tabs>
        <w:spacing w:before="113" w:line="360" w:lineRule="auto"/>
        <w:ind w:left="284" w:right="747"/>
        <w:contextualSpacing/>
        <w:rPr>
          <w:rFonts w:ascii="Arial" w:hAnsi="Arial" w:cs="Arial"/>
          <w:w w:val="115"/>
          <w:lang w:val="pt-BR"/>
        </w:rPr>
      </w:pPr>
      <w:r>
        <w:rPr>
          <w:rFonts w:ascii="Arial" w:hAnsi="Arial" w:cs="Arial"/>
          <w:w w:val="115"/>
          <w:lang w:val="pt-BR"/>
        </w:rPr>
        <w:t>APÊNDICE DO ANEXO I – Estudo Técnico Preliminar</w:t>
      </w:r>
    </w:p>
    <w:p w14:paraId="13343545">
      <w:pPr>
        <w:pStyle w:val="17"/>
        <w:tabs>
          <w:tab w:val="left" w:pos="313"/>
        </w:tabs>
        <w:spacing w:before="113" w:line="360" w:lineRule="auto"/>
        <w:ind w:left="284" w:right="747"/>
        <w:contextualSpacing/>
        <w:rPr>
          <w:rFonts w:ascii="Arial" w:hAnsi="Arial" w:cs="Arial"/>
          <w:lang w:val="pt-BR"/>
        </w:rPr>
      </w:pPr>
      <w:r>
        <w:rPr>
          <w:rFonts w:ascii="Arial" w:hAnsi="Arial" w:cs="Arial"/>
          <w:w w:val="115"/>
          <w:lang w:val="pt-BR"/>
        </w:rPr>
        <w:t>ANEXO II – Planilha Orçamentária</w:t>
      </w:r>
    </w:p>
    <w:p w14:paraId="54EC59B4">
      <w:pPr>
        <w:pStyle w:val="17"/>
        <w:tabs>
          <w:tab w:val="left" w:pos="378"/>
        </w:tabs>
        <w:spacing w:before="113" w:line="360" w:lineRule="auto"/>
        <w:ind w:left="284" w:right="747"/>
        <w:contextualSpacing/>
        <w:rPr>
          <w:rFonts w:ascii="Arial" w:hAnsi="Arial" w:cs="Arial"/>
          <w:w w:val="115"/>
          <w:lang w:val="pt-BR"/>
        </w:rPr>
      </w:pPr>
      <w:r>
        <w:rPr>
          <w:rFonts w:ascii="Arial" w:hAnsi="Arial" w:cs="Arial"/>
          <w:w w:val="115"/>
          <w:lang w:val="pt-BR"/>
        </w:rPr>
        <w:t>ANEXO III – Modelo de Proposta de Preços</w:t>
      </w:r>
    </w:p>
    <w:p w14:paraId="4FF7FDE1">
      <w:pPr>
        <w:pStyle w:val="17"/>
        <w:tabs>
          <w:tab w:val="left" w:pos="378"/>
        </w:tabs>
        <w:spacing w:before="113" w:line="360" w:lineRule="auto"/>
        <w:ind w:left="284" w:right="747"/>
        <w:contextualSpacing/>
        <w:rPr>
          <w:rFonts w:ascii="Arial" w:hAnsi="Arial" w:cs="Arial"/>
          <w:w w:val="115"/>
          <w:lang w:val="pt-BR"/>
        </w:rPr>
      </w:pPr>
      <w:r>
        <w:rPr>
          <w:rFonts w:ascii="Arial" w:hAnsi="Arial" w:cs="Arial"/>
          <w:w w:val="115"/>
          <w:lang w:val="pt-BR"/>
        </w:rPr>
        <w:t>ANEXO IV – Declaração Unificada</w:t>
      </w:r>
    </w:p>
    <w:p w14:paraId="21119005">
      <w:pPr>
        <w:pStyle w:val="17"/>
        <w:tabs>
          <w:tab w:val="left" w:pos="378"/>
        </w:tabs>
        <w:spacing w:before="113" w:line="360" w:lineRule="auto"/>
        <w:ind w:left="284" w:right="747"/>
        <w:contextualSpacing/>
        <w:rPr>
          <w:rFonts w:ascii="Arial" w:hAnsi="Arial" w:cs="Arial"/>
          <w:w w:val="115"/>
          <w:lang w:val="pt-BR"/>
        </w:rPr>
      </w:pPr>
      <w:r>
        <w:rPr>
          <w:rFonts w:ascii="Arial" w:hAnsi="Arial" w:cs="Arial"/>
          <w:w w:val="115"/>
          <w:lang w:val="pt-BR"/>
        </w:rPr>
        <w:t>ANEXO V – Declaração ME - EPP</w:t>
      </w:r>
    </w:p>
    <w:p w14:paraId="1A41E4EA">
      <w:pPr>
        <w:pStyle w:val="17"/>
        <w:tabs>
          <w:tab w:val="left" w:pos="378"/>
        </w:tabs>
        <w:spacing w:before="113" w:line="360" w:lineRule="auto"/>
        <w:ind w:left="284" w:right="747"/>
        <w:contextualSpacing/>
        <w:rPr>
          <w:rFonts w:ascii="Arial" w:hAnsi="Arial" w:cs="Arial"/>
          <w:w w:val="115"/>
          <w:lang w:val="pt-BR"/>
        </w:rPr>
      </w:pPr>
      <w:r>
        <w:rPr>
          <w:rFonts w:ascii="Arial" w:hAnsi="Arial" w:cs="Arial"/>
          <w:w w:val="115"/>
          <w:lang w:val="pt-BR"/>
        </w:rPr>
        <w:t>ANEXO VI –  Minuta da Ata de Registro de Preços</w:t>
      </w:r>
    </w:p>
    <w:p w14:paraId="677354E1">
      <w:pPr>
        <w:pStyle w:val="17"/>
        <w:tabs>
          <w:tab w:val="left" w:pos="378"/>
        </w:tabs>
        <w:spacing w:before="113" w:line="360" w:lineRule="auto"/>
        <w:ind w:left="284" w:right="747"/>
        <w:contextualSpacing/>
        <w:rPr>
          <w:rFonts w:ascii="Arial" w:hAnsi="Arial" w:cs="Arial"/>
          <w:w w:val="115"/>
          <w:lang w:val="pt-BR"/>
        </w:rPr>
      </w:pPr>
      <w:bookmarkStart w:id="22" w:name="_Hlk138684206"/>
      <w:r>
        <w:rPr>
          <w:rFonts w:ascii="Arial" w:hAnsi="Arial" w:cs="Arial"/>
          <w:w w:val="115"/>
          <w:lang w:val="pt-BR"/>
        </w:rPr>
        <w:t xml:space="preserve">ANEXO VII – </w:t>
      </w:r>
      <w:bookmarkEnd w:id="22"/>
      <w:r>
        <w:rPr>
          <w:rFonts w:ascii="Arial" w:hAnsi="Arial" w:cs="Arial"/>
          <w:w w:val="115"/>
          <w:lang w:val="pt-BR"/>
        </w:rPr>
        <w:t>Minuta de Termo de Contrato</w:t>
      </w:r>
    </w:p>
    <w:p w14:paraId="74D2A958">
      <w:pPr>
        <w:numPr>
          <w:ilvl w:val="0"/>
          <w:numId w:val="4"/>
        </w:numPr>
        <w:tabs>
          <w:tab w:val="left" w:pos="709"/>
        </w:tabs>
        <w:spacing w:before="199" w:line="360" w:lineRule="auto"/>
        <w:ind w:left="284" w:right="747" w:firstLine="0"/>
        <w:jc w:val="both"/>
        <w:outlineLvl w:val="0"/>
        <w:rPr>
          <w:rFonts w:ascii="Arial" w:hAnsi="Arial" w:eastAsia="Gill Sans MT" w:cs="Arial"/>
          <w:b/>
          <w:bCs/>
          <w:lang w:val="pt-BR"/>
        </w:rPr>
      </w:pPr>
      <w:bookmarkStart w:id="23" w:name="_Toc62718152"/>
      <w:bookmarkStart w:id="24" w:name="_Toc151457780"/>
      <w:r>
        <w:rPr>
          <w:rFonts w:ascii="Arial" w:hAnsi="Arial" w:eastAsia="Gill Sans MT" w:cs="Arial"/>
          <w:b/>
          <w:bCs/>
          <w:spacing w:val="-3"/>
          <w:lang w:val="pt-BR"/>
        </w:rPr>
        <w:t>OBJETO</w:t>
      </w:r>
      <w:bookmarkEnd w:id="23"/>
      <w:bookmarkEnd w:id="24"/>
    </w:p>
    <w:p w14:paraId="004D5756">
      <w:pPr>
        <w:pStyle w:val="17"/>
        <w:numPr>
          <w:ilvl w:val="1"/>
          <w:numId w:val="4"/>
        </w:numPr>
        <w:tabs>
          <w:tab w:val="left" w:pos="709"/>
        </w:tabs>
        <w:spacing w:before="113" w:line="360" w:lineRule="auto"/>
        <w:ind w:left="284" w:right="747" w:firstLine="0"/>
        <w:rPr>
          <w:rFonts w:ascii="Arial" w:hAnsi="Arial" w:cs="Arial"/>
          <w:w w:val="110"/>
          <w:lang w:val="pt-BR"/>
        </w:rPr>
      </w:pPr>
      <w:r>
        <w:rPr>
          <w:rFonts w:ascii="Arial" w:hAnsi="Arial" w:cs="Arial"/>
          <w:w w:val="110"/>
          <w:lang w:val="pt-BR"/>
        </w:rPr>
        <w:t xml:space="preserve">- O objeto da presente licitação é o </w:t>
      </w:r>
      <w:r>
        <w:rPr>
          <w:rFonts w:ascii="Arial" w:hAnsi="Arial" w:eastAsia="Gill Sans MT" w:cs="Arial"/>
          <w:b/>
          <w:bCs/>
          <w:spacing w:val="-3"/>
          <w:lang w:val="pt-BR"/>
        </w:rPr>
        <w:t>REGISTRO DE PREÇOS para futura e eventual CONTRATAÇÃO DE EMPRESA ESPECIALIZADA NA PRESTAÇÃO DE SERVIÇO DE TRANSPORTE DE PASSAGEIROS (PACIENTES E ACOMPANHANTES), considerando como itinerário o trajeto que vai do município de embarque qual seja, Nova Friburgo ao Município/Local de desembarque pré-determinado pela Central de Regulação/TFD (Tratamento Fora de Domicilio) e Coordenação de Saúde Auditiva, pelo período de 01 (um) ano</w:t>
      </w:r>
      <w:r>
        <w:rPr>
          <w:rFonts w:ascii="Arial" w:hAnsi="Arial" w:cs="Arial"/>
          <w:w w:val="110"/>
          <w:lang w:val="pt-BR"/>
        </w:rPr>
        <w:t>, conforme condições, quantidades e especificações contidas no Termo de Referência – Anexo I deste edital.</w:t>
      </w:r>
    </w:p>
    <w:p w14:paraId="2B41E8FF">
      <w:pPr>
        <w:numPr>
          <w:ilvl w:val="1"/>
          <w:numId w:val="4"/>
        </w:numPr>
        <w:tabs>
          <w:tab w:val="left" w:pos="709"/>
        </w:tabs>
        <w:spacing w:before="113" w:line="360" w:lineRule="auto"/>
        <w:ind w:left="284" w:right="747" w:firstLine="0"/>
        <w:jc w:val="both"/>
        <w:rPr>
          <w:rFonts w:ascii="Arial" w:hAnsi="Arial" w:cs="Arial"/>
          <w:w w:val="110"/>
          <w:lang w:val="pt-BR"/>
        </w:rPr>
      </w:pPr>
      <w:r>
        <w:rPr>
          <w:rFonts w:ascii="Arial" w:hAnsi="Arial" w:cs="Arial"/>
          <w:w w:val="110"/>
          <w:lang w:val="pt-BR"/>
        </w:rPr>
        <w:t>- O Município de Nova Friburgo não se obriga a adquirir os itens relacionados dos licitantes vencedores, nem nas quantidades indicadas no Termo de Referência – Anexo I deste edital, podendo até realizar licitação específica para aquisição de um ou de mais itens, hipótese em que, em igualdade de condições, o beneficiário do registro terá preferência, respeitada a legislação relativa às licitações.</w:t>
      </w:r>
    </w:p>
    <w:p w14:paraId="1A943DE1">
      <w:pPr>
        <w:numPr>
          <w:ilvl w:val="1"/>
          <w:numId w:val="4"/>
        </w:numPr>
        <w:tabs>
          <w:tab w:val="left" w:pos="709"/>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w:t>
      </w:r>
      <w:r>
        <w:rPr>
          <w:rFonts w:ascii="Arial" w:hAnsi="Arial" w:cs="Arial"/>
          <w:b/>
          <w:bCs/>
          <w:w w:val="110"/>
          <w:lang w:val="pt-BR"/>
        </w:rPr>
        <w:t>NO CASO DE DIVERGÊNCIA ENTRE A ESPECIFICAÇÃO CONTIDA NESTE EDITAL E NO SISTEMA COMPRA.GOV.BR, PREVALECERÁ A DESCRITA NESTE EDITAL.</w:t>
      </w:r>
    </w:p>
    <w:p w14:paraId="3F8460D2">
      <w:pPr>
        <w:numPr>
          <w:ilvl w:val="1"/>
          <w:numId w:val="4"/>
        </w:numPr>
        <w:tabs>
          <w:tab w:val="left" w:pos="709"/>
        </w:tabs>
        <w:spacing w:before="113" w:line="360" w:lineRule="auto"/>
        <w:ind w:left="284" w:right="747" w:firstLine="0"/>
        <w:jc w:val="both"/>
        <w:rPr>
          <w:rFonts w:ascii="Arial" w:hAnsi="Arial" w:cs="Arial"/>
          <w:w w:val="110"/>
          <w:lang w:val="pt-BR"/>
        </w:rPr>
      </w:pPr>
      <w:r>
        <w:rPr>
          <w:rFonts w:ascii="Arial" w:hAnsi="Arial" w:cs="Arial"/>
          <w:w w:val="110"/>
          <w:lang w:val="pt-BR"/>
        </w:rPr>
        <w:t>- A licitação será dividida em grupos (Lotes), formados por um ou mais itens, conforme tabela constante do Termo de Referência – Anexo I, facultando-se ao licitante a participação em quantos grupos forem de seu interesse, devendo oferecer proposta para todos os itens que os compõem.</w:t>
      </w:r>
    </w:p>
    <w:p w14:paraId="44169FE7">
      <w:pPr>
        <w:numPr>
          <w:ilvl w:val="0"/>
          <w:numId w:val="4"/>
        </w:numPr>
        <w:tabs>
          <w:tab w:val="left" w:pos="709"/>
        </w:tabs>
        <w:spacing w:before="199" w:line="360" w:lineRule="auto"/>
        <w:ind w:left="284" w:right="747" w:firstLine="0"/>
        <w:jc w:val="both"/>
        <w:outlineLvl w:val="0"/>
        <w:rPr>
          <w:rFonts w:ascii="Arial" w:hAnsi="Arial" w:eastAsia="Gill Sans MT" w:cs="Arial"/>
          <w:b/>
          <w:bCs/>
          <w:spacing w:val="-3"/>
          <w:lang w:val="pt-BR"/>
        </w:rPr>
      </w:pPr>
      <w:bookmarkStart w:id="25" w:name="_Toc151457781"/>
      <w:r>
        <w:rPr>
          <w:rFonts w:ascii="Arial" w:hAnsi="Arial" w:eastAsia="Gill Sans MT" w:cs="Arial"/>
          <w:b/>
          <w:bCs/>
          <w:spacing w:val="-3"/>
          <w:lang w:val="pt-BR"/>
        </w:rPr>
        <w:t>DO REGISTRO DE PREÇOS</w:t>
      </w:r>
      <w:bookmarkEnd w:id="25"/>
    </w:p>
    <w:p w14:paraId="3E550683">
      <w:pPr>
        <w:numPr>
          <w:ilvl w:val="1"/>
          <w:numId w:val="4"/>
        </w:numPr>
        <w:tabs>
          <w:tab w:val="left" w:pos="709"/>
        </w:tabs>
        <w:spacing w:before="113" w:line="360" w:lineRule="auto"/>
        <w:ind w:left="284" w:right="747" w:firstLine="0"/>
        <w:jc w:val="both"/>
        <w:rPr>
          <w:rFonts w:ascii="Arial" w:hAnsi="Arial" w:cs="Arial"/>
          <w:w w:val="110"/>
          <w:lang w:val="pt-BR"/>
        </w:rPr>
      </w:pPr>
      <w:r>
        <w:rPr>
          <w:rFonts w:ascii="Arial" w:hAnsi="Arial" w:cs="Arial"/>
          <w:lang w:val="pt-BR"/>
        </w:rPr>
        <w:t xml:space="preserve"> – </w:t>
      </w:r>
      <w:r>
        <w:rPr>
          <w:rFonts w:ascii="Arial" w:hAnsi="Arial" w:cs="Arial"/>
          <w:w w:val="110"/>
          <w:lang w:val="pt-BR"/>
        </w:rPr>
        <w:t>As regras referentes aos órgãos gerenciador e participantes, bem como a eventuais adesões são as que constam da minuta de Ata de Registro de Preços – ANEXO VI, do edital.</w:t>
      </w:r>
    </w:p>
    <w:p w14:paraId="20C8AE2A">
      <w:pPr>
        <w:numPr>
          <w:ilvl w:val="0"/>
          <w:numId w:val="4"/>
        </w:numPr>
        <w:tabs>
          <w:tab w:val="left" w:pos="709"/>
        </w:tabs>
        <w:spacing w:before="199" w:line="360" w:lineRule="auto"/>
        <w:ind w:left="284" w:right="747" w:firstLine="0"/>
        <w:jc w:val="both"/>
        <w:outlineLvl w:val="0"/>
        <w:rPr>
          <w:rFonts w:ascii="Arial" w:hAnsi="Arial" w:eastAsia="Gill Sans MT" w:cs="Arial"/>
          <w:b/>
          <w:bCs/>
          <w:spacing w:val="-3"/>
          <w:lang w:val="pt-BR"/>
        </w:rPr>
      </w:pPr>
      <w:bookmarkStart w:id="26" w:name="_Toc151457782"/>
      <w:bookmarkStart w:id="27" w:name="_Toc62718154"/>
      <w:r>
        <w:rPr>
          <w:rFonts w:ascii="Arial" w:hAnsi="Arial" w:eastAsia="Gill Sans MT" w:cs="Arial"/>
          <w:b/>
          <w:bCs/>
          <w:spacing w:val="-3"/>
          <w:lang w:val="pt-BR"/>
        </w:rPr>
        <w:t>PREÇO ESTIMADO</w:t>
      </w:r>
      <w:bookmarkEnd w:id="26"/>
      <w:bookmarkEnd w:id="27"/>
    </w:p>
    <w:p w14:paraId="316C20E8">
      <w:pPr>
        <w:numPr>
          <w:ilvl w:val="1"/>
          <w:numId w:val="4"/>
        </w:numPr>
        <w:tabs>
          <w:tab w:val="left" w:pos="709"/>
        </w:tabs>
        <w:spacing w:before="113" w:line="360" w:lineRule="auto"/>
        <w:ind w:left="284" w:right="747" w:firstLine="0"/>
        <w:jc w:val="both"/>
        <w:rPr>
          <w:rFonts w:ascii="Arial" w:hAnsi="Arial" w:cs="Arial"/>
          <w:b/>
          <w:bCs/>
          <w:w w:val="110"/>
          <w:lang w:val="pt-BR"/>
        </w:rPr>
      </w:pPr>
      <w:r>
        <w:rPr>
          <w:rFonts w:ascii="Arial" w:hAnsi="Arial" w:cs="Arial"/>
          <w:w w:val="110"/>
          <w:lang w:val="pt-BR"/>
        </w:rPr>
        <w:t xml:space="preserve">-  O custo estimado total da contratação é de </w:t>
      </w:r>
      <w:r>
        <w:rPr>
          <w:rFonts w:ascii="Arial" w:hAnsi="Arial" w:cs="Arial"/>
          <w:b/>
          <w:bCs/>
          <w:w w:val="110"/>
          <w:lang w:val="pt-BR"/>
        </w:rPr>
        <w:t>R$ 10.567.313,66 (dez milhões, quinhentos e sessenta e sete mil, trezentos e treze reais e sessenta e seis centavos),</w:t>
      </w:r>
      <w:r>
        <w:rPr>
          <w:rFonts w:ascii="Arial" w:hAnsi="Arial" w:cs="Arial"/>
          <w:color w:val="FF0000"/>
          <w:w w:val="110"/>
          <w:lang w:val="pt-BR"/>
        </w:rPr>
        <w:t xml:space="preserve"> </w:t>
      </w:r>
      <w:r>
        <w:rPr>
          <w:rFonts w:ascii="Arial" w:hAnsi="Arial" w:cs="Arial"/>
          <w:w w:val="110"/>
          <w:lang w:val="pt-BR"/>
        </w:rPr>
        <w:t>conforme custos unitários apostos PLANILHA ORÇAMENTÁRIA – ANEXO II do edital.</w:t>
      </w:r>
    </w:p>
    <w:p w14:paraId="7FAC49B5">
      <w:pPr>
        <w:numPr>
          <w:ilvl w:val="1"/>
          <w:numId w:val="4"/>
        </w:numPr>
        <w:tabs>
          <w:tab w:val="left" w:pos="709"/>
        </w:tabs>
        <w:spacing w:before="113" w:line="360" w:lineRule="auto"/>
        <w:ind w:left="284" w:right="747" w:firstLine="0"/>
        <w:jc w:val="both"/>
        <w:rPr>
          <w:rFonts w:ascii="Arial" w:hAnsi="Arial" w:cs="Arial"/>
          <w:w w:val="110"/>
          <w:lang w:val="pt-BR"/>
        </w:rPr>
      </w:pPr>
      <w:r>
        <w:rPr>
          <w:rFonts w:ascii="Arial" w:hAnsi="Arial" w:cs="Arial"/>
          <w:w w:val="110"/>
          <w:lang w:val="pt-BR"/>
        </w:rPr>
        <w:t>O valor descrito acima constitui mera estimativa, não se obrigando o Município de Nova Friburgo a utilizá-lo integralmente.</w:t>
      </w:r>
    </w:p>
    <w:p w14:paraId="0F519B54">
      <w:pPr>
        <w:numPr>
          <w:ilvl w:val="1"/>
          <w:numId w:val="4"/>
        </w:numPr>
        <w:tabs>
          <w:tab w:val="left" w:pos="709"/>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 (art. 25 do Decreto nº 11.462/2023). </w:t>
      </w:r>
    </w:p>
    <w:p w14:paraId="48C0AC79">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22A57853">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em caso de criação, alteração ou extinção de quaisquer tributos ou encargos legais ou superveniência de disposições legais, com comprovada repercussão sobre os preços registrados;</w:t>
      </w:r>
    </w:p>
    <w:p w14:paraId="4C52B119">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serão reajustados os preços registrados, respeitada a contagem da anualidade e utilizando-se a variação do Índice Nacional de Preços ao Consumidor Amplo (IPCA), instituído pelo Instituto Brasileiro de Geografia e Estatística (IBGE).</w:t>
      </w:r>
    </w:p>
    <w:p w14:paraId="6EAB7262">
      <w:pPr>
        <w:numPr>
          <w:ilvl w:val="3"/>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Nos reajustes subsequentes ao primeiro, o interregno mínimo de um ano será contado a partir dos efeitos financeiros do último reajuste.</w:t>
      </w:r>
    </w:p>
    <w:p w14:paraId="42500C18">
      <w:pPr>
        <w:numPr>
          <w:ilvl w:val="3"/>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13ECBD2D">
      <w:pPr>
        <w:numPr>
          <w:ilvl w:val="3"/>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Nas aferições finais, o(s) índice(s) utilizado(s) para reajuste será(ão), obrigatoriamente, o(s) definitivo(s).</w:t>
      </w:r>
    </w:p>
    <w:p w14:paraId="7C22339F">
      <w:pPr>
        <w:numPr>
          <w:ilvl w:val="3"/>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Caso o(s) índice(s) estabelecido(s) para reajustamento venha(m) a ser extinto(s) ou de qualquer forma não possa(m) mais ser utilizado(s), será(ão) adotado(s), em substituição, o(s) que vier(em) a ser determinado(s) pela legislação então em vigor.</w:t>
      </w:r>
    </w:p>
    <w:p w14:paraId="47235784">
      <w:pPr>
        <w:numPr>
          <w:ilvl w:val="3"/>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Na ausência de previsão legal quanto ao índice substituto, as partes elegerão novo índice oficial, para reajustamento do preço do valor remanescente, por meio de termo aditivo. </w:t>
      </w:r>
    </w:p>
    <w:p w14:paraId="31E14D6D">
      <w:pPr>
        <w:numPr>
          <w:ilvl w:val="3"/>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O reajuste será realizado por apostilamento.</w:t>
      </w:r>
    </w:p>
    <w:p w14:paraId="14521D49">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poderão ser repactuados, a pedido do interessado, conforme critérios definidos para a contratação.</w:t>
      </w:r>
    </w:p>
    <w:p w14:paraId="6CFC79B8">
      <w:pPr>
        <w:numPr>
          <w:ilvl w:val="0"/>
          <w:numId w:val="4"/>
        </w:numPr>
        <w:tabs>
          <w:tab w:val="left" w:pos="709"/>
        </w:tabs>
        <w:spacing w:before="199" w:line="360" w:lineRule="auto"/>
        <w:ind w:left="284" w:right="747" w:firstLine="0"/>
        <w:jc w:val="both"/>
        <w:outlineLvl w:val="0"/>
        <w:rPr>
          <w:rFonts w:ascii="Arial" w:hAnsi="Arial" w:eastAsia="Gill Sans MT" w:cs="Arial"/>
          <w:b/>
          <w:bCs/>
          <w:spacing w:val="-3"/>
          <w:lang w:val="pt-BR"/>
        </w:rPr>
      </w:pPr>
      <w:bookmarkStart w:id="28" w:name="_Toc151457783"/>
      <w:bookmarkStart w:id="29" w:name="_Toc62718156"/>
      <w:r>
        <w:rPr>
          <w:rFonts w:ascii="Arial" w:hAnsi="Arial" w:eastAsia="Gill Sans MT" w:cs="Arial"/>
          <w:b/>
          <w:bCs/>
          <w:spacing w:val="-3"/>
          <w:lang w:val="pt-BR"/>
        </w:rPr>
        <w:t>CONDIÇÕES DE PARTICIPAÇÃO</w:t>
      </w:r>
      <w:bookmarkEnd w:id="28"/>
      <w:bookmarkEnd w:id="29"/>
    </w:p>
    <w:p w14:paraId="2CD67AF0">
      <w:pPr>
        <w:numPr>
          <w:ilvl w:val="1"/>
          <w:numId w:val="4"/>
        </w:numPr>
        <w:tabs>
          <w:tab w:val="left" w:pos="709"/>
        </w:tabs>
        <w:spacing w:before="113" w:line="360" w:lineRule="auto"/>
        <w:ind w:left="284" w:right="747" w:firstLine="0"/>
        <w:jc w:val="both"/>
        <w:rPr>
          <w:rFonts w:ascii="Arial" w:hAnsi="Arial" w:cs="Arial"/>
          <w:w w:val="110"/>
          <w:lang w:val="pt-BR"/>
        </w:rPr>
      </w:pPr>
      <w:r>
        <w:rPr>
          <w:rFonts w:ascii="Arial" w:hAnsi="Arial" w:cs="Arial"/>
          <w:w w:val="110"/>
          <w:lang w:val="pt-BR"/>
        </w:rPr>
        <w:t>- Poderão participar desta licitação as empresas interessadas que atenderem às seguintes exigências:</w:t>
      </w:r>
    </w:p>
    <w:p w14:paraId="3B3713BE">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Estejam legalmente estabelecidas e explorem ramo de atividade compatível com o objeto desta licitação, devendo tal fato ser oportunamente comprovado mediante exame dos atos constitutivos da empresa;</w:t>
      </w:r>
    </w:p>
    <w:p w14:paraId="4B1B85A6">
      <w:pPr>
        <w:numPr>
          <w:ilvl w:val="2"/>
          <w:numId w:val="4"/>
        </w:numPr>
        <w:tabs>
          <w:tab w:val="left" w:pos="709"/>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Estiveram previamente credenciados no Sistema de Cadastramento Unificado de Fornecedores - SICAF e no Sistema de Compras do Governo Federal (</w:t>
      </w:r>
      <w:r>
        <w:fldChar w:fldCharType="begin"/>
      </w:r>
      <w:r>
        <w:instrText xml:space="preserve"> HYPERLINK "http://www.gov.br/compras" </w:instrText>
      </w:r>
      <w:r>
        <w:fldChar w:fldCharType="separate"/>
      </w:r>
      <w:r>
        <w:rPr>
          <w:rStyle w:val="9"/>
          <w:rFonts w:ascii="Arial" w:hAnsi="Arial" w:cs="Arial"/>
          <w:w w:val="110"/>
          <w:lang w:val="pt-BR"/>
        </w:rPr>
        <w:t>www.gov.br/compras</w:t>
      </w:r>
      <w:r>
        <w:rPr>
          <w:rStyle w:val="9"/>
          <w:rFonts w:ascii="Arial" w:hAnsi="Arial" w:cs="Arial"/>
          <w:w w:val="110"/>
          <w:lang w:val="pt-BR"/>
        </w:rPr>
        <w:fldChar w:fldCharType="end"/>
      </w:r>
      <w:r>
        <w:rPr>
          <w:rFonts w:ascii="Arial" w:hAnsi="Arial" w:cs="Arial"/>
          <w:w w:val="110"/>
          <w:lang w:val="pt-BR"/>
        </w:rPr>
        <w:t>), por meio de Certificado Digital conferido pela Infraestrutura de Chaves Públicas Brasileira – ICP – Brasil.</w:t>
      </w:r>
    </w:p>
    <w:p w14:paraId="3741D862">
      <w:pPr>
        <w:numPr>
          <w:ilvl w:val="3"/>
          <w:numId w:val="4"/>
        </w:numPr>
        <w:tabs>
          <w:tab w:val="left" w:pos="709"/>
          <w:tab w:val="left" w:pos="993"/>
        </w:tabs>
        <w:spacing w:before="113" w:line="360" w:lineRule="auto"/>
        <w:ind w:left="284" w:right="747" w:firstLine="0"/>
        <w:jc w:val="both"/>
        <w:rPr>
          <w:rFonts w:ascii="Arial" w:hAnsi="Arial" w:cs="Arial"/>
          <w:b/>
          <w:bCs/>
          <w:w w:val="110"/>
          <w:lang w:val="pt-BR"/>
        </w:rPr>
      </w:pPr>
      <w:r>
        <w:rPr>
          <w:rFonts w:ascii="Arial" w:hAnsi="Arial" w:cs="Arial"/>
          <w:b/>
          <w:bCs/>
          <w:w w:val="110"/>
          <w:lang w:val="pt-BR"/>
        </w:rPr>
        <w:t>- Os interessados deverão atender às condições exigidas no cadastramento no SICAF até o terceiro dia útil anterior à data prevista para recebimento das propostas.</w:t>
      </w:r>
    </w:p>
    <w:p w14:paraId="62A6C2FB">
      <w:pPr>
        <w:pStyle w:val="17"/>
        <w:numPr>
          <w:ilvl w:val="2"/>
          <w:numId w:val="4"/>
        </w:numPr>
        <w:tabs>
          <w:tab w:val="left" w:pos="709"/>
          <w:tab w:val="left" w:pos="993"/>
        </w:tabs>
        <w:spacing w:before="113" w:line="360" w:lineRule="auto"/>
        <w:ind w:left="284" w:right="747" w:firstLine="0"/>
        <w:contextualSpacing/>
        <w:rPr>
          <w:rFonts w:ascii="Arial" w:hAnsi="Arial" w:cs="Arial"/>
          <w:w w:val="110"/>
          <w:lang w:val="pt-BR"/>
        </w:rPr>
      </w:pPr>
      <w:r>
        <w:rPr>
          <w:rFonts w:ascii="Arial" w:hAnsi="Arial" w:cs="Arial"/>
          <w:w w:val="110"/>
          <w:lang w:val="pt-BR"/>
        </w:rPr>
        <w:t>Um licitante, ou grupo, suas filiais ou empresas que fazem parte de um grupo econômico ou financeiro, somente poderá apresentar uma única proposta de preços. Caso um licitante participe em mais de uma proposta de preços, estas propostas não serão levadas em consideração e serão rejeitadas.</w:t>
      </w:r>
    </w:p>
    <w:p w14:paraId="32930E52">
      <w:pPr>
        <w:pStyle w:val="17"/>
        <w:numPr>
          <w:ilvl w:val="3"/>
          <w:numId w:val="4"/>
        </w:numPr>
        <w:tabs>
          <w:tab w:val="left" w:pos="709"/>
          <w:tab w:val="left" w:pos="1134"/>
        </w:tabs>
        <w:spacing w:before="113" w:line="360" w:lineRule="auto"/>
        <w:ind w:left="284" w:right="747" w:firstLine="0"/>
        <w:contextualSpacing/>
        <w:rPr>
          <w:rFonts w:ascii="Arial" w:hAnsi="Arial" w:cs="Arial"/>
          <w:w w:val="110"/>
          <w:lang w:val="pt-BR"/>
        </w:rPr>
      </w:pPr>
      <w:r>
        <w:rPr>
          <w:rFonts w:ascii="Arial" w:hAnsi="Arial" w:cs="Arial"/>
          <w:lang w:val="pt-BR"/>
        </w:rPr>
        <w:t xml:space="preserve">- </w:t>
      </w:r>
      <w:r>
        <w:rPr>
          <w:rFonts w:ascii="Arial" w:hAnsi="Arial" w:cs="Arial"/>
          <w:w w:val="110"/>
          <w:lang w:val="pt-BR"/>
        </w:rPr>
        <w:t>Para tais efeitos entende-se que fazem parte de um mesmo grupo econômico ou financeiro, as empresas que tenham diretores, acionistas (com participação em mais de 5%), ou representantes legais comuns, e aqueles que dependam ou subsidiem econômica ou financeiramente a outra empresa.</w:t>
      </w:r>
    </w:p>
    <w:p w14:paraId="1951A52C">
      <w:pPr>
        <w:numPr>
          <w:ilvl w:val="2"/>
          <w:numId w:val="4"/>
        </w:numPr>
        <w:tabs>
          <w:tab w:val="left" w:pos="709"/>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30C2BDC">
      <w:pPr>
        <w:numPr>
          <w:ilvl w:val="2"/>
          <w:numId w:val="4"/>
        </w:numPr>
        <w:tabs>
          <w:tab w:val="left" w:pos="709"/>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EA089D4">
      <w:pPr>
        <w:numPr>
          <w:ilvl w:val="2"/>
          <w:numId w:val="4"/>
        </w:numPr>
        <w:tabs>
          <w:tab w:val="left" w:pos="709"/>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A não observância do disposto no item anterior poderá ensejar desclassificação no momento da habilitação.</w:t>
      </w:r>
    </w:p>
    <w:p w14:paraId="23937960">
      <w:pPr>
        <w:numPr>
          <w:ilvl w:val="2"/>
          <w:numId w:val="4"/>
        </w:numPr>
        <w:tabs>
          <w:tab w:val="left" w:pos="709"/>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Atendam às condições exigidas neste Edital e em seus Anexos.</w:t>
      </w:r>
    </w:p>
    <w:p w14:paraId="21C5FB7C">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Será concedido tratamento favorecido para as microempresas e empresas de pequeno porte,</w:t>
      </w:r>
      <w:r>
        <w:rPr>
          <w:rFonts w:ascii="Ecofont_Spranq_eco_Sans" w:hAnsi="Ecofont_Spranq_eco_Sans" w:eastAsiaTheme="minorEastAsia"/>
          <w:sz w:val="24"/>
          <w:szCs w:val="24"/>
          <w:lang w:val="pt-BR" w:eastAsia="pt-BR" w:bidi="ar-SA"/>
        </w:rPr>
        <w:t xml:space="preserve"> </w:t>
      </w:r>
      <w:r>
        <w:rPr>
          <w:rFonts w:ascii="Arial" w:hAnsi="Arial" w:cs="Arial"/>
          <w:w w:val="110"/>
          <w:lang w:val="pt-BR"/>
        </w:rPr>
        <w:t xml:space="preserve">para as sociedades cooperativas mencionadas no </w:t>
      </w:r>
      <w:r>
        <w:fldChar w:fldCharType="begin"/>
      </w:r>
      <w:r>
        <w:instrText xml:space="preserve"> HYPERLINK "http://www.planalto.gov.br/ccivil_03/_ato2019-2022/2021/lei/L14133.htm" \l "art16" \h </w:instrText>
      </w:r>
      <w:r>
        <w:fldChar w:fldCharType="separate"/>
      </w:r>
      <w:r>
        <w:rPr>
          <w:rStyle w:val="9"/>
          <w:rFonts w:ascii="Arial" w:hAnsi="Arial" w:cs="Arial"/>
          <w:w w:val="110"/>
          <w:lang w:val="pt-BR"/>
        </w:rPr>
        <w:t>artigo 16 da Lei nº 14.133, de 2021</w:t>
      </w:r>
      <w:r>
        <w:rPr>
          <w:rStyle w:val="9"/>
          <w:rFonts w:ascii="Arial" w:hAnsi="Arial" w:cs="Arial"/>
          <w:w w:val="110"/>
          <w:lang w:val="pt-BR"/>
        </w:rPr>
        <w:fldChar w:fldCharType="end"/>
      </w:r>
      <w:r>
        <w:rPr>
          <w:rFonts w:ascii="Arial" w:hAnsi="Arial" w:cs="Arial"/>
          <w:w w:val="110"/>
          <w:lang w:val="pt-BR"/>
        </w:rPr>
        <w:t xml:space="preserve"> para o agricultor familiar, o produtor rural pessoa física e para o microempreendedor individual - MEI, nos limites previstos da </w:t>
      </w:r>
      <w:r>
        <w:fldChar w:fldCharType="begin"/>
      </w:r>
      <w:r>
        <w:instrText xml:space="preserve"> HYPERLINK "https://www.planalto.gov.br/ccivil_03/leis/lcp/lcp123.htm" </w:instrText>
      </w:r>
      <w:r>
        <w:fldChar w:fldCharType="separate"/>
      </w:r>
      <w:r>
        <w:rPr>
          <w:rFonts w:ascii="Arial" w:hAnsi="Arial" w:cs="Arial"/>
          <w:lang w:val="pt-BR"/>
        </w:rPr>
        <w:t>Lei Complementar nº 123, de 2006</w:t>
      </w:r>
      <w:r>
        <w:rPr>
          <w:rFonts w:ascii="Arial" w:hAnsi="Arial" w:cs="Arial"/>
          <w:lang w:val="pt-BR"/>
        </w:rPr>
        <w:fldChar w:fldCharType="end"/>
      </w:r>
      <w:r>
        <w:rPr>
          <w:rFonts w:ascii="Arial" w:hAnsi="Arial" w:cs="Arial"/>
          <w:w w:val="110"/>
          <w:lang w:val="pt-BR"/>
        </w:rPr>
        <w:t xml:space="preserve"> e do Decreto n.º 8.538, de 2015.</w:t>
      </w:r>
    </w:p>
    <w:p w14:paraId="72C50491">
      <w:pPr>
        <w:numPr>
          <w:ilvl w:val="2"/>
          <w:numId w:val="4"/>
        </w:numPr>
        <w:tabs>
          <w:tab w:val="left" w:pos="993"/>
        </w:tabs>
        <w:spacing w:before="113" w:line="360" w:lineRule="auto"/>
        <w:ind w:left="284" w:right="747" w:firstLine="0"/>
        <w:jc w:val="both"/>
        <w:rPr>
          <w:rFonts w:ascii="Arial" w:hAnsi="Arial" w:cs="Arial"/>
          <w:w w:val="110"/>
          <w:lang w:val="pt-BR"/>
        </w:rPr>
      </w:pPr>
      <w:bookmarkStart w:id="30" w:name="_Toc43891491"/>
      <w:r>
        <w:rPr>
          <w:rFonts w:ascii="Arial" w:hAnsi="Arial" w:cs="Arial"/>
          <w:w w:val="110"/>
          <w:lang w:val="pt-BR"/>
        </w:rPr>
        <w:t>- As microempresas (ME), empresas de pequeno porte (EPP) e equiparadas que quiserem usufruir dos benefícios concedidos pela Lei Complementar nº 123, de 2006, deverão declarar em campo próprio do sistema eletrônico tal condição, ostentando os requisitos previstos no referido dispositivo legal, em especial quanto ao seu artigo 3º.</w:t>
      </w:r>
      <w:bookmarkEnd w:id="30"/>
    </w:p>
    <w:p w14:paraId="65916EB2">
      <w:pPr>
        <w:numPr>
          <w:ilvl w:val="3"/>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Para comprovação da condição disposta no item anterior, a empresa licitante deverá apresentar ainda a Declaração </w:t>
      </w:r>
      <w:r>
        <w:rPr>
          <w:rFonts w:ascii="Arial" w:hAnsi="Arial" w:cs="Arial"/>
          <w:b/>
          <w:bCs/>
          <w:w w:val="110"/>
          <w:lang w:val="pt-BR"/>
        </w:rPr>
        <w:t>atualizada</w:t>
      </w:r>
      <w:r>
        <w:rPr>
          <w:rFonts w:ascii="Arial" w:hAnsi="Arial" w:cs="Arial"/>
          <w:w w:val="110"/>
          <w:lang w:val="pt-BR"/>
        </w:rPr>
        <w:t xml:space="preserve"> devidamente </w:t>
      </w:r>
      <w:r>
        <w:rPr>
          <w:rFonts w:ascii="Arial" w:hAnsi="Arial" w:cs="Arial"/>
          <w:b/>
          <w:bCs/>
          <w:w w:val="110"/>
          <w:lang w:val="pt-BR"/>
        </w:rPr>
        <w:t>assinada pelo representante legal e pelo contador (Anexo V do edital).</w:t>
      </w:r>
    </w:p>
    <w:p w14:paraId="2946EDE4">
      <w:pPr>
        <w:numPr>
          <w:ilvl w:val="0"/>
          <w:numId w:val="4"/>
        </w:numPr>
        <w:tabs>
          <w:tab w:val="left" w:pos="709"/>
        </w:tabs>
        <w:spacing w:before="199" w:line="360" w:lineRule="auto"/>
        <w:ind w:left="284" w:right="747" w:firstLine="0"/>
        <w:jc w:val="both"/>
        <w:outlineLvl w:val="0"/>
        <w:rPr>
          <w:rFonts w:ascii="Arial" w:hAnsi="Arial" w:cs="Arial"/>
          <w:w w:val="110"/>
          <w:lang w:val="pt-BR"/>
        </w:rPr>
      </w:pPr>
      <w:bookmarkStart w:id="31" w:name="_Toc151457784"/>
      <w:r>
        <w:rPr>
          <w:rFonts w:ascii="Arial" w:hAnsi="Arial" w:cs="Arial"/>
          <w:b/>
          <w:bCs/>
          <w:w w:val="110"/>
          <w:lang w:val="pt-BR"/>
        </w:rPr>
        <w:t>DA PARTICIPAÇÃO DE CONSÓRCIOS DE EMPRESAS</w:t>
      </w:r>
      <w:bookmarkEnd w:id="31"/>
    </w:p>
    <w:p w14:paraId="21210D8F">
      <w:pPr>
        <w:numPr>
          <w:ilvl w:val="1"/>
          <w:numId w:val="4"/>
        </w:numPr>
        <w:tabs>
          <w:tab w:val="left" w:pos="851"/>
        </w:tabs>
        <w:spacing w:before="113" w:line="360" w:lineRule="auto"/>
        <w:ind w:left="284" w:right="747" w:firstLine="0"/>
        <w:jc w:val="both"/>
        <w:rPr>
          <w:rFonts w:ascii="Arial" w:hAnsi="Arial" w:cs="Arial"/>
          <w:i/>
          <w:w w:val="110"/>
          <w:lang w:val="pt-BR"/>
        </w:rPr>
      </w:pPr>
      <w:r>
        <w:rPr>
          <w:rFonts w:ascii="Arial" w:hAnsi="Arial" w:cs="Arial"/>
          <w:w w:val="110"/>
          <w:lang w:val="pt-BR"/>
        </w:rPr>
        <w:t xml:space="preserve"> - Quando permitida a participação de consórcio de empresas, a licitante deverá apresentar comprovação de compromisso público ou particular de constituição de consórcio, subscrito pelos consorciados;</w:t>
      </w:r>
    </w:p>
    <w:p w14:paraId="0C11F69A">
      <w:pPr>
        <w:numPr>
          <w:ilvl w:val="2"/>
          <w:numId w:val="4"/>
        </w:numPr>
        <w:tabs>
          <w:tab w:val="left" w:pos="1134"/>
        </w:tabs>
        <w:spacing w:before="113" w:line="360" w:lineRule="auto"/>
        <w:ind w:left="284" w:right="747" w:firstLine="0"/>
        <w:jc w:val="both"/>
        <w:rPr>
          <w:rFonts w:ascii="Arial" w:hAnsi="Arial" w:cs="Arial"/>
          <w:iCs/>
          <w:w w:val="110"/>
          <w:lang w:val="pt-BR"/>
        </w:rPr>
      </w:pPr>
      <w:r>
        <w:rPr>
          <w:rFonts w:ascii="Arial" w:hAnsi="Arial" w:cs="Arial"/>
          <w:iCs/>
          <w:w w:val="110"/>
          <w:lang w:val="pt-BR"/>
        </w:rPr>
        <w:t>- O licitante vencedor é obrigado a promover, antes da celebração do contrato, a constituição e o registro do consórcio, nos termos do compromisso referido no subitem anterior.</w:t>
      </w:r>
    </w:p>
    <w:p w14:paraId="282E28A5">
      <w:pPr>
        <w:numPr>
          <w:ilvl w:val="1"/>
          <w:numId w:val="4"/>
        </w:numPr>
        <w:tabs>
          <w:tab w:val="left" w:pos="851"/>
        </w:tabs>
        <w:spacing w:before="113" w:line="360" w:lineRule="auto"/>
        <w:ind w:left="284" w:right="747" w:firstLine="0"/>
        <w:jc w:val="both"/>
        <w:rPr>
          <w:rFonts w:ascii="Arial" w:hAnsi="Arial" w:cs="Arial"/>
          <w:iCs/>
          <w:w w:val="110"/>
          <w:lang w:val="pt-BR"/>
        </w:rPr>
      </w:pPr>
      <w:r>
        <w:rPr>
          <w:rFonts w:ascii="Arial" w:hAnsi="Arial" w:cs="Arial"/>
          <w:iCs/>
          <w:w w:val="110"/>
          <w:lang w:val="pt-BR"/>
        </w:rPr>
        <w:t xml:space="preserve">– O licitante deverá realizar a </w:t>
      </w:r>
      <w:r>
        <w:rPr>
          <w:rFonts w:ascii="Arial" w:hAnsi="Arial" w:cs="Arial"/>
          <w:w w:val="110"/>
          <w:lang w:val="pt-BR"/>
        </w:rPr>
        <w:t>indicação</w:t>
      </w:r>
      <w:r>
        <w:rPr>
          <w:rFonts w:ascii="Arial" w:hAnsi="Arial" w:cs="Arial"/>
          <w:iCs/>
          <w:w w:val="110"/>
          <w:lang w:val="pt-BR"/>
        </w:rPr>
        <w:t xml:space="preserve"> da empresa líder do consórcio, que será responsável por sua representação perante a Administração;</w:t>
      </w:r>
    </w:p>
    <w:p w14:paraId="0DDA0C59">
      <w:pPr>
        <w:numPr>
          <w:ilvl w:val="1"/>
          <w:numId w:val="4"/>
        </w:numPr>
        <w:tabs>
          <w:tab w:val="left" w:pos="851"/>
        </w:tabs>
        <w:spacing w:before="113" w:line="360" w:lineRule="auto"/>
        <w:ind w:left="284" w:right="747" w:firstLine="0"/>
        <w:jc w:val="both"/>
        <w:rPr>
          <w:rFonts w:ascii="Arial" w:hAnsi="Arial" w:cs="Arial"/>
          <w:i/>
          <w:w w:val="110"/>
          <w:lang w:val="pt-BR"/>
        </w:rPr>
      </w:pPr>
      <w:r>
        <w:rPr>
          <w:rFonts w:ascii="Arial" w:hAnsi="Arial" w:cs="Arial"/>
          <w:w w:val="110"/>
          <w:lang w:val="pt-BR"/>
        </w:rPr>
        <w:t>- A habilitação técnica, quando exigida, será feita por meio do somatório dos quantitativos de cada consorciado e, para efeito de habilitação econômico-financeira, quando exigida, será observado o somatório dos valores de cada consorciado.</w:t>
      </w:r>
    </w:p>
    <w:p w14:paraId="011873F9">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Se o consórcio não for formado integralmente por microempresas ou empresas de pequeno porte e o termo de referência exigir requisitos de habilitação econômico-financeira, haverá um acréscimo de 30% (trinta por cento) para o consórcio em relação ao valor exigido para os licitantes individuais.</w:t>
      </w:r>
    </w:p>
    <w:p w14:paraId="2225CF6E">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Fica impedida de a empresa consorciada participar, na mesma licitação, de mais de um consórcio ou de forma isolada;</w:t>
      </w:r>
    </w:p>
    <w:p w14:paraId="1F937CBD">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A substituição de consorciado deverá ser expressamente autorizada pelo órgão ou entidade contratante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78253277">
      <w:pPr>
        <w:numPr>
          <w:ilvl w:val="0"/>
          <w:numId w:val="4"/>
        </w:numPr>
        <w:tabs>
          <w:tab w:val="left" w:pos="709"/>
        </w:tabs>
        <w:spacing w:before="199" w:line="360" w:lineRule="auto"/>
        <w:ind w:left="284" w:right="747" w:firstLine="0"/>
        <w:jc w:val="both"/>
        <w:outlineLvl w:val="0"/>
        <w:rPr>
          <w:rFonts w:ascii="Arial" w:hAnsi="Arial" w:cs="Arial"/>
          <w:b/>
          <w:bCs/>
          <w:w w:val="110"/>
          <w:lang w:val="pt-BR"/>
        </w:rPr>
      </w:pPr>
      <w:bookmarkStart w:id="32" w:name="_Toc151457785"/>
      <w:r>
        <w:rPr>
          <w:rFonts w:ascii="Arial" w:hAnsi="Arial" w:cs="Arial"/>
          <w:b/>
          <w:bCs/>
          <w:w w:val="110"/>
          <w:lang w:val="pt-BR"/>
        </w:rPr>
        <w:t>DA PARTICIPAÇÃO DE COOPERATIVAS DE EMPRESAS</w:t>
      </w:r>
      <w:bookmarkEnd w:id="32"/>
    </w:p>
    <w:p w14:paraId="460DF295">
      <w:pPr>
        <w:pStyle w:val="17"/>
        <w:numPr>
          <w:ilvl w:val="1"/>
          <w:numId w:val="4"/>
        </w:numPr>
        <w:tabs>
          <w:tab w:val="left" w:pos="709"/>
          <w:tab w:val="left" w:pos="851"/>
        </w:tabs>
        <w:spacing w:before="199" w:line="360" w:lineRule="auto"/>
        <w:ind w:left="284" w:right="747" w:firstLine="0"/>
        <w:rPr>
          <w:rFonts w:ascii="Arial" w:hAnsi="Arial" w:cs="Arial"/>
          <w:w w:val="110"/>
          <w:lang w:val="pt-BR"/>
        </w:rPr>
      </w:pPr>
      <w:r>
        <w:rPr>
          <w:rFonts w:ascii="Arial" w:hAnsi="Arial" w:cs="Arial"/>
          <w:w w:val="110"/>
          <w:lang w:val="pt-BR"/>
        </w:rPr>
        <w:t>Caso admitida a participação de cooperativas, será exigida a seguinte documentação complementar:</w:t>
      </w:r>
    </w:p>
    <w:p w14:paraId="20201D37">
      <w:pPr>
        <w:numPr>
          <w:ilvl w:val="2"/>
          <w:numId w:val="4"/>
        </w:numPr>
        <w:tabs>
          <w:tab w:val="left" w:pos="709"/>
          <w:tab w:val="left" w:pos="1134"/>
        </w:tabs>
        <w:spacing w:before="199" w:line="360" w:lineRule="auto"/>
        <w:ind w:left="284" w:right="747" w:firstLine="0"/>
        <w:jc w:val="both"/>
        <w:rPr>
          <w:rFonts w:ascii="Arial" w:hAnsi="Arial" w:cs="Arial"/>
          <w:w w:val="110"/>
          <w:lang w:val="pt-BR"/>
        </w:rPr>
      </w:pPr>
      <w:r>
        <w:rPr>
          <w:rFonts w:ascii="Arial" w:hAnsi="Arial" w:cs="Arial"/>
          <w:w w:val="110"/>
          <w:lang w:val="pt-BR"/>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r>
        <w:fldChar w:fldCharType="begin"/>
      </w:r>
      <w:r>
        <w:instrText xml:space="preserve"> HYPERLINK "https://www.planalto.gov.br/ccivil_03/leis/l5764.htm" \l "art4" \h </w:instrText>
      </w:r>
      <w:r>
        <w:fldChar w:fldCharType="separate"/>
      </w:r>
      <w:r>
        <w:rPr>
          <w:rFonts w:ascii="Arial" w:hAnsi="Arial" w:cs="Arial"/>
          <w:w w:val="110"/>
          <w:lang w:val="pt-BR"/>
        </w:rPr>
        <w:t>arts. 4º, inciso XI, 21, inciso I</w:t>
      </w:r>
      <w:r>
        <w:rPr>
          <w:rFonts w:ascii="Arial" w:hAnsi="Arial" w:cs="Arial"/>
          <w:w w:val="110"/>
          <w:lang w:val="pt-BR"/>
        </w:rPr>
        <w:fldChar w:fldCharType="end"/>
      </w:r>
      <w:r>
        <w:rPr>
          <w:rFonts w:ascii="Arial" w:hAnsi="Arial" w:cs="Arial"/>
          <w:w w:val="110"/>
          <w:lang w:val="pt-BR"/>
        </w:rPr>
        <w:t xml:space="preserve"> e </w:t>
      </w:r>
      <w:r>
        <w:fldChar w:fldCharType="begin"/>
      </w:r>
      <w:r>
        <w:instrText xml:space="preserve"> HYPERLINK "https://www.planalto.gov.br/ccivil_03/leis/l5764.htm" \l "art42" \h </w:instrText>
      </w:r>
      <w:r>
        <w:fldChar w:fldCharType="separate"/>
      </w:r>
      <w:r>
        <w:rPr>
          <w:rFonts w:ascii="Arial" w:hAnsi="Arial" w:cs="Arial"/>
          <w:w w:val="110"/>
          <w:lang w:val="pt-BR"/>
        </w:rPr>
        <w:t>42, §§2º a 6º da Lei n. 5.764, de 1971</w:t>
      </w:r>
      <w:r>
        <w:rPr>
          <w:rFonts w:ascii="Arial" w:hAnsi="Arial" w:cs="Arial"/>
          <w:w w:val="110"/>
          <w:lang w:val="pt-BR"/>
        </w:rPr>
        <w:fldChar w:fldCharType="end"/>
      </w:r>
      <w:r>
        <w:rPr>
          <w:rFonts w:ascii="Arial" w:hAnsi="Arial" w:cs="Arial"/>
          <w:w w:val="110"/>
          <w:lang w:val="pt-BR"/>
        </w:rPr>
        <w:t>;</w:t>
      </w:r>
    </w:p>
    <w:p w14:paraId="0B0D8DB7">
      <w:pPr>
        <w:numPr>
          <w:ilvl w:val="2"/>
          <w:numId w:val="4"/>
        </w:numPr>
        <w:tabs>
          <w:tab w:val="left" w:pos="709"/>
          <w:tab w:val="left" w:pos="1134"/>
        </w:tabs>
        <w:spacing w:before="199" w:line="360" w:lineRule="auto"/>
        <w:ind w:left="284" w:right="747" w:firstLine="0"/>
        <w:jc w:val="both"/>
        <w:rPr>
          <w:rFonts w:ascii="Arial" w:hAnsi="Arial" w:cs="Arial"/>
          <w:w w:val="110"/>
          <w:lang w:val="pt-BR"/>
        </w:rPr>
      </w:pPr>
      <w:r>
        <w:rPr>
          <w:rFonts w:ascii="Arial" w:hAnsi="Arial" w:cs="Arial"/>
          <w:w w:val="110"/>
          <w:lang w:val="pt-BR"/>
        </w:rPr>
        <w:t>A declaração de regularidade de situação do contribuinte individual – DRSCI, para cada um dos cooperados indicados;</w:t>
      </w:r>
    </w:p>
    <w:p w14:paraId="22026AF1">
      <w:pPr>
        <w:numPr>
          <w:ilvl w:val="2"/>
          <w:numId w:val="4"/>
        </w:numPr>
        <w:tabs>
          <w:tab w:val="left" w:pos="709"/>
          <w:tab w:val="left" w:pos="1134"/>
        </w:tabs>
        <w:spacing w:before="199" w:line="360" w:lineRule="auto"/>
        <w:ind w:left="284" w:right="747" w:firstLine="0"/>
        <w:jc w:val="both"/>
        <w:rPr>
          <w:rFonts w:ascii="Arial" w:hAnsi="Arial" w:cs="Arial"/>
          <w:w w:val="110"/>
          <w:lang w:val="pt-BR"/>
        </w:rPr>
      </w:pPr>
      <w:r>
        <w:rPr>
          <w:rFonts w:ascii="Arial" w:hAnsi="Arial" w:cs="Arial"/>
          <w:w w:val="110"/>
          <w:lang w:val="pt-BR"/>
        </w:rPr>
        <w:t xml:space="preserve">A comprovação do capital social proporcional ao número de cooperados necessários à execução contratual; </w:t>
      </w:r>
    </w:p>
    <w:p w14:paraId="51CD61A3">
      <w:pPr>
        <w:numPr>
          <w:ilvl w:val="2"/>
          <w:numId w:val="4"/>
        </w:numPr>
        <w:tabs>
          <w:tab w:val="left" w:pos="709"/>
          <w:tab w:val="left" w:pos="1134"/>
        </w:tabs>
        <w:spacing w:before="199" w:line="360" w:lineRule="auto"/>
        <w:ind w:left="284" w:right="747" w:firstLine="0"/>
        <w:jc w:val="both"/>
        <w:rPr>
          <w:rFonts w:ascii="Arial" w:hAnsi="Arial" w:cs="Arial"/>
          <w:w w:val="110"/>
          <w:lang w:val="pt-BR"/>
        </w:rPr>
      </w:pPr>
      <w:r>
        <w:rPr>
          <w:rFonts w:ascii="Arial" w:hAnsi="Arial" w:cs="Arial"/>
          <w:w w:val="110"/>
          <w:lang w:val="pt-BR"/>
        </w:rPr>
        <w:t xml:space="preserve">O registro previsto na </w:t>
      </w:r>
      <w:r>
        <w:fldChar w:fldCharType="begin"/>
      </w:r>
      <w:r>
        <w:instrText xml:space="preserve"> HYPERLINK "https://www.planalto.gov.br/ccivil_03/leis/l5764.htm" \l "art107" \h </w:instrText>
      </w:r>
      <w:r>
        <w:fldChar w:fldCharType="separate"/>
      </w:r>
      <w:r>
        <w:rPr>
          <w:rFonts w:ascii="Arial" w:hAnsi="Arial" w:cs="Arial"/>
          <w:w w:val="110"/>
          <w:lang w:val="pt-BR"/>
        </w:rPr>
        <w:t>Lei n. 5.764, de 1971, art. 107</w:t>
      </w:r>
      <w:r>
        <w:rPr>
          <w:rFonts w:ascii="Arial" w:hAnsi="Arial" w:cs="Arial"/>
          <w:w w:val="110"/>
          <w:lang w:val="pt-BR"/>
        </w:rPr>
        <w:fldChar w:fldCharType="end"/>
      </w:r>
      <w:r>
        <w:rPr>
          <w:rFonts w:ascii="Arial" w:hAnsi="Arial" w:cs="Arial"/>
          <w:w w:val="110"/>
          <w:lang w:val="pt-BR"/>
        </w:rPr>
        <w:t>;</w:t>
      </w:r>
    </w:p>
    <w:p w14:paraId="4F278BFF">
      <w:pPr>
        <w:numPr>
          <w:ilvl w:val="2"/>
          <w:numId w:val="4"/>
        </w:numPr>
        <w:tabs>
          <w:tab w:val="left" w:pos="709"/>
          <w:tab w:val="left" w:pos="1134"/>
        </w:tabs>
        <w:spacing w:before="199" w:line="360" w:lineRule="auto"/>
        <w:ind w:left="284" w:right="747" w:firstLine="0"/>
        <w:jc w:val="both"/>
        <w:rPr>
          <w:rFonts w:ascii="Arial" w:hAnsi="Arial" w:cs="Arial"/>
          <w:w w:val="110"/>
          <w:lang w:val="pt-BR"/>
        </w:rPr>
      </w:pPr>
      <w:r>
        <w:rPr>
          <w:rFonts w:ascii="Arial" w:hAnsi="Arial" w:cs="Arial"/>
          <w:w w:val="110"/>
          <w:lang w:val="pt-BR"/>
        </w:rPr>
        <w:t xml:space="preserve"> A comprovação de integração das respectivas quotas-partes por parte dos cooperados que executarão o contrato; e</w:t>
      </w:r>
    </w:p>
    <w:p w14:paraId="3B32910D">
      <w:pPr>
        <w:numPr>
          <w:ilvl w:val="2"/>
          <w:numId w:val="4"/>
        </w:numPr>
        <w:tabs>
          <w:tab w:val="left" w:pos="709"/>
          <w:tab w:val="left" w:pos="1134"/>
        </w:tabs>
        <w:spacing w:before="199" w:line="360" w:lineRule="auto"/>
        <w:ind w:left="284" w:right="747" w:firstLine="0"/>
        <w:jc w:val="both"/>
        <w:rPr>
          <w:rFonts w:ascii="Arial" w:hAnsi="Arial" w:cs="Arial"/>
          <w:w w:val="110"/>
          <w:lang w:val="pt-BR"/>
        </w:rPr>
      </w:pPr>
      <w:r>
        <w:rPr>
          <w:rFonts w:ascii="Arial" w:hAnsi="Arial" w:cs="Arial"/>
          <w:w w:val="110"/>
          <w:lang w:val="pt-BR"/>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1DF36A47">
      <w:pPr>
        <w:numPr>
          <w:ilvl w:val="2"/>
          <w:numId w:val="4"/>
        </w:numPr>
        <w:tabs>
          <w:tab w:val="left" w:pos="709"/>
          <w:tab w:val="left" w:pos="1134"/>
        </w:tabs>
        <w:spacing w:before="199" w:line="360" w:lineRule="auto"/>
        <w:ind w:left="284" w:right="747" w:firstLine="0"/>
        <w:jc w:val="both"/>
        <w:rPr>
          <w:rFonts w:ascii="Arial" w:hAnsi="Arial" w:cs="Arial"/>
          <w:w w:val="110"/>
          <w:lang w:val="pt-BR"/>
        </w:rPr>
      </w:pPr>
      <w:r>
        <w:rPr>
          <w:rFonts w:ascii="Arial" w:hAnsi="Arial" w:cs="Arial"/>
          <w:w w:val="110"/>
          <w:lang w:val="pt-BR"/>
        </w:rPr>
        <w:t xml:space="preserve">A última auditoria contábil-financeira da cooperativa, conforme dispõe o </w:t>
      </w:r>
      <w:r>
        <w:fldChar w:fldCharType="begin"/>
      </w:r>
      <w:r>
        <w:instrText xml:space="preserve"> HYPERLINK "https://www.planalto.gov.br/ccivil_03/leis/l5764.htm" \l "art112" \h </w:instrText>
      </w:r>
      <w:r>
        <w:fldChar w:fldCharType="separate"/>
      </w:r>
      <w:r>
        <w:rPr>
          <w:rFonts w:ascii="Arial" w:hAnsi="Arial" w:cs="Arial"/>
          <w:w w:val="110"/>
          <w:lang w:val="pt-BR"/>
        </w:rPr>
        <w:t>art. 112 da Lei n. 5.764, de 1971</w:t>
      </w:r>
      <w:r>
        <w:rPr>
          <w:rFonts w:ascii="Arial" w:hAnsi="Arial" w:cs="Arial"/>
          <w:w w:val="110"/>
          <w:lang w:val="pt-BR"/>
        </w:rPr>
        <w:fldChar w:fldCharType="end"/>
      </w:r>
      <w:r>
        <w:rPr>
          <w:rFonts w:ascii="Arial" w:hAnsi="Arial" w:cs="Arial"/>
          <w:w w:val="110"/>
          <w:lang w:val="pt-BR"/>
        </w:rPr>
        <w:t>, ou uma declaração, sob as penas da lei, de que tal auditoria não foi exigida pelo órgão fiscalizador.</w:t>
      </w:r>
    </w:p>
    <w:p w14:paraId="0B4D2969">
      <w:pPr>
        <w:numPr>
          <w:ilvl w:val="0"/>
          <w:numId w:val="4"/>
        </w:numPr>
        <w:tabs>
          <w:tab w:val="left" w:pos="709"/>
        </w:tabs>
        <w:spacing w:before="199" w:line="360" w:lineRule="auto"/>
        <w:ind w:left="284" w:right="747" w:firstLine="0"/>
        <w:jc w:val="both"/>
        <w:outlineLvl w:val="0"/>
        <w:rPr>
          <w:rFonts w:ascii="Arial" w:hAnsi="Arial" w:cs="Arial"/>
          <w:b/>
          <w:bCs/>
          <w:w w:val="110"/>
          <w:lang w:val="pt-BR"/>
        </w:rPr>
      </w:pPr>
      <w:r>
        <w:rPr>
          <w:rFonts w:ascii="Arial" w:hAnsi="Arial" w:cs="Arial"/>
          <w:b/>
          <w:bCs/>
          <w:w w:val="110"/>
          <w:lang w:val="pt-BR"/>
        </w:rPr>
        <w:t xml:space="preserve"> </w:t>
      </w:r>
      <w:bookmarkStart w:id="33" w:name="_Toc151457786"/>
      <w:bookmarkStart w:id="34" w:name="_Toc62718158"/>
      <w:r>
        <w:rPr>
          <w:rFonts w:ascii="Arial" w:hAnsi="Arial" w:cs="Arial"/>
          <w:b/>
          <w:bCs/>
          <w:w w:val="110"/>
          <w:lang w:val="pt-BR"/>
        </w:rPr>
        <w:t>VEDAÇÃO À PARTICIPAÇÃO NO CERTAME</w:t>
      </w:r>
      <w:bookmarkEnd w:id="33"/>
      <w:bookmarkEnd w:id="34"/>
    </w:p>
    <w:p w14:paraId="2A3A6901">
      <w:pPr>
        <w:pStyle w:val="17"/>
        <w:numPr>
          <w:ilvl w:val="1"/>
          <w:numId w:val="4"/>
        </w:numPr>
        <w:tabs>
          <w:tab w:val="left" w:pos="993"/>
        </w:tabs>
        <w:spacing w:before="113" w:line="360" w:lineRule="auto"/>
        <w:ind w:left="284" w:right="747" w:firstLine="0"/>
        <w:rPr>
          <w:rFonts w:ascii="Arial" w:hAnsi="Arial" w:cs="Arial"/>
          <w:w w:val="110"/>
          <w:lang w:val="pt-BR"/>
        </w:rPr>
      </w:pPr>
      <w:r>
        <w:rPr>
          <w:rFonts w:ascii="Arial" w:hAnsi="Arial" w:cs="Arial"/>
          <w:w w:val="110"/>
          <w:lang w:val="pt-BR"/>
        </w:rPr>
        <w:t>- Não poderão concorrer neste pregão as sociedades empresariais e empresários que se enquadrem nas seguintes situações:</w:t>
      </w:r>
    </w:p>
    <w:p w14:paraId="6378A4C2">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Aquele que não atenda às condições deste Edital e seu(s) anexo(s);</w:t>
      </w:r>
    </w:p>
    <w:p w14:paraId="0BD935E8">
      <w:pPr>
        <w:numPr>
          <w:ilvl w:val="2"/>
          <w:numId w:val="4"/>
        </w:numPr>
        <w:tabs>
          <w:tab w:val="left" w:pos="993"/>
        </w:tabs>
        <w:spacing w:before="113" w:line="360" w:lineRule="auto"/>
        <w:ind w:left="284" w:right="747" w:firstLine="0"/>
        <w:jc w:val="both"/>
        <w:rPr>
          <w:rFonts w:ascii="Arial" w:hAnsi="Arial" w:cs="Arial"/>
          <w:w w:val="110"/>
          <w:lang w:val="pt-BR"/>
        </w:rPr>
      </w:pPr>
      <w:bookmarkStart w:id="35" w:name="_Ref142572650"/>
      <w:r>
        <w:rPr>
          <w:rFonts w:ascii="Arial" w:hAnsi="Arial" w:cs="Arial"/>
          <w:w w:val="110"/>
          <w:lang w:val="pt-BR"/>
        </w:rPr>
        <w:t>- Autor do anteprojeto, do projeto básico ou do projeto executivo, pessoa física ou jurídica, quando a licitação versar sobre serviços ou fornecimento de bens a ele relacionados;</w:t>
      </w:r>
      <w:bookmarkEnd w:id="35"/>
    </w:p>
    <w:p w14:paraId="457EB311">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2BE6D66A">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A critério da Administração e exclusivamente a seu serviço, o autor dos projetos e a empresa a que se referem os itens 8.1.2 e 8.1.3 poderão participar no apoio das atividades de planejamento da contratação, de execução da licitação ou de gestão do contrato, desde que sob supervisão exclusiva de agentes públicos do órgão ou entidade</w:t>
      </w:r>
    </w:p>
    <w:p w14:paraId="2D4CE4DF">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w:t>
      </w:r>
      <w:bookmarkStart w:id="36" w:name="_Hlk131519168"/>
      <w:r>
        <w:rPr>
          <w:rFonts w:ascii="Arial" w:hAnsi="Arial" w:cs="Arial"/>
          <w:w w:val="110"/>
          <w:lang w:val="pt-BR"/>
        </w:rPr>
        <w:t>Equiparam-se aos autores do projeto as empresas integrantes do mesmo grupo econômico.</w:t>
      </w:r>
    </w:p>
    <w:bookmarkEnd w:id="36"/>
    <w:p w14:paraId="6C51808C">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O disposto 8.1.2 e 8.1.3 não impede a licitação ou a contratação de serviço que inclua como encargo do contratado a elaboração do projeto básico e do projeto executivo, nas contratações integradas, e do projeto executivo, nos demais regimes de execução.</w:t>
      </w:r>
    </w:p>
    <w:p w14:paraId="1E35D96A">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Pessoa física ou jurídica que se encontre, ao tempo da licitação, impossibilitada de participar da licitação em decorrência de sanção que lhe foi imposta;</w:t>
      </w:r>
    </w:p>
    <w:p w14:paraId="68FC2E1D">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O impedimento de que trata o item anterior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C4293A3">
      <w:pPr>
        <w:numPr>
          <w:ilvl w:val="2"/>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821AE9B">
      <w:pPr>
        <w:numPr>
          <w:ilvl w:val="2"/>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Empresas controladoras, controladas ou coligadas, nos termos da </w:t>
      </w:r>
      <w:r>
        <w:fldChar w:fldCharType="begin"/>
      </w:r>
      <w:r>
        <w:instrText xml:space="preserve"> HYPERLINK "http://www.planalto.gov.br/ccivil_03/leis/l6404consol.htm" </w:instrText>
      </w:r>
      <w:r>
        <w:fldChar w:fldCharType="separate"/>
      </w:r>
      <w:r>
        <w:rPr>
          <w:rStyle w:val="9"/>
          <w:rFonts w:ascii="Arial" w:hAnsi="Arial" w:cs="Arial"/>
          <w:w w:val="110"/>
          <w:lang w:val="pt-BR"/>
        </w:rPr>
        <w:t>Lei nº 6.404, de 15 de dezembro de 1976</w:t>
      </w:r>
      <w:r>
        <w:rPr>
          <w:rStyle w:val="9"/>
          <w:rFonts w:ascii="Arial" w:hAnsi="Arial" w:cs="Arial"/>
          <w:w w:val="110"/>
          <w:lang w:val="pt-BR"/>
        </w:rPr>
        <w:fldChar w:fldCharType="end"/>
      </w:r>
      <w:r>
        <w:rPr>
          <w:rFonts w:ascii="Arial" w:hAnsi="Arial" w:cs="Arial"/>
          <w:w w:val="110"/>
          <w:lang w:val="pt-BR"/>
        </w:rPr>
        <w:t>, concorrendo entre si;</w:t>
      </w:r>
    </w:p>
    <w:p w14:paraId="040F073C">
      <w:pPr>
        <w:numPr>
          <w:ilvl w:val="2"/>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33FF6CF">
      <w:pPr>
        <w:numPr>
          <w:ilvl w:val="2"/>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Agente público do órgão ou entidade licitante;</w:t>
      </w:r>
    </w:p>
    <w:p w14:paraId="55F10B4B">
      <w:pPr>
        <w:numPr>
          <w:ilvl w:val="2"/>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 A vedação de que trata o item anterior estende-se a terceiro que auxilie a condução da contratação na qualidade de integrante de equipe de apoio, profissional especializado ou funcionário ou representante de empresa que preste assessoria técnica.</w:t>
      </w:r>
    </w:p>
    <w:p w14:paraId="36F8F003">
      <w:pPr>
        <w:numPr>
          <w:ilvl w:val="2"/>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 Organizações da Sociedade Civil de Interesse Público - OSCIP, atuando nessa condição;</w:t>
      </w:r>
    </w:p>
    <w:p w14:paraId="6F308893">
      <w:pPr>
        <w:numPr>
          <w:ilvl w:val="2"/>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xml:space="preserve"> HYPERLINK "http://www.planalto.gov.br/ccivil_03/_ato2019-2022/2021/lei/L14133.htm" \l "art9§1" </w:instrText>
      </w:r>
      <w:r>
        <w:fldChar w:fldCharType="separate"/>
      </w:r>
      <w:r>
        <w:rPr>
          <w:rStyle w:val="9"/>
          <w:rFonts w:ascii="Arial" w:hAnsi="Arial" w:cs="Arial"/>
          <w:w w:val="110"/>
          <w:lang w:val="pt-BR"/>
        </w:rPr>
        <w:t>§ 1º do art. 9º da Lei nº 14.133, de 2021</w:t>
      </w:r>
      <w:r>
        <w:rPr>
          <w:rStyle w:val="9"/>
          <w:rFonts w:ascii="Arial" w:hAnsi="Arial" w:cs="Arial"/>
          <w:w w:val="110"/>
          <w:lang w:val="pt-BR"/>
        </w:rPr>
        <w:fldChar w:fldCharType="end"/>
      </w:r>
      <w:r>
        <w:rPr>
          <w:rFonts w:ascii="Arial" w:hAnsi="Arial" w:cs="Arial"/>
          <w:w w:val="110"/>
          <w:lang w:val="pt-BR"/>
        </w:rPr>
        <w:t>.</w:t>
      </w:r>
    </w:p>
    <w:p w14:paraId="44A60673">
      <w:pPr>
        <w:numPr>
          <w:ilvl w:val="2"/>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 xml:space="preserve"> HYPERLINK "http://www.planalto.gov.br/ccivil_03/_ato2019-2022/2021/lei/L14133.htm" </w:instrText>
      </w:r>
      <w:r>
        <w:fldChar w:fldCharType="separate"/>
      </w:r>
      <w:r>
        <w:rPr>
          <w:rStyle w:val="9"/>
          <w:rFonts w:ascii="Arial" w:hAnsi="Arial" w:cs="Arial"/>
          <w:w w:val="110"/>
          <w:lang w:val="pt-BR"/>
        </w:rPr>
        <w:t>Lei nº 14.133/2021</w:t>
      </w:r>
      <w:r>
        <w:rPr>
          <w:rStyle w:val="9"/>
          <w:rFonts w:ascii="Arial" w:hAnsi="Arial" w:cs="Arial"/>
          <w:w w:val="110"/>
          <w:lang w:val="pt-BR"/>
        </w:rPr>
        <w:fldChar w:fldCharType="end"/>
      </w:r>
      <w:r>
        <w:rPr>
          <w:rFonts w:ascii="Arial" w:hAnsi="Arial" w:cs="Arial"/>
          <w:w w:val="110"/>
          <w:lang w:val="pt-BR"/>
        </w:rPr>
        <w:t>.</w:t>
      </w:r>
    </w:p>
    <w:p w14:paraId="1B3A26D5">
      <w:pPr>
        <w:numPr>
          <w:ilvl w:val="2"/>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 Sociedades empresárias que estiverem em concordata, em recuperação judicial, recuperação extrajudicial, em processo de falência, sob concurso de credores, em dissolução ou em liquidação judicial ou extrajudicial.</w:t>
      </w:r>
    </w:p>
    <w:p w14:paraId="20F085A8">
      <w:pPr>
        <w:numPr>
          <w:ilvl w:val="3"/>
          <w:numId w:val="4"/>
        </w:numPr>
        <w:tabs>
          <w:tab w:val="left" w:pos="1276"/>
        </w:tabs>
        <w:spacing w:before="113" w:line="360" w:lineRule="auto"/>
        <w:ind w:left="284" w:right="747" w:firstLine="0"/>
        <w:jc w:val="both"/>
        <w:rPr>
          <w:rFonts w:ascii="Arial" w:hAnsi="Arial" w:cs="Arial"/>
          <w:w w:val="110"/>
          <w:lang w:val="pt-BR"/>
        </w:rPr>
      </w:pPr>
      <w:r>
        <w:rPr>
          <w:rFonts w:ascii="Arial" w:hAnsi="Arial" w:cs="Arial"/>
          <w:w w:val="110"/>
          <w:lang w:val="pt-BR"/>
        </w:rPr>
        <w:t>- Será permitida a participação de empresa em recuperação judicial com plano de recuperação homologado pela autoridade judiciária competente, visto que nesse contexto há plausibilidade de capacidade econômico-financeira, devendo, então, demonstrar-se além da referida homologação judicial os demais requisitos para habilitação econômico-financeira.</w:t>
      </w:r>
    </w:p>
    <w:p w14:paraId="4644546C">
      <w:pPr>
        <w:numPr>
          <w:ilvl w:val="2"/>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Sociedade empresária ou empresário proibido de contratar como Poder Público, em razão do disposto no artigo 72, §8º, V, da Lei Federal nº 9.605/98 (Lei dos Crimes Ambientais);</w:t>
      </w:r>
    </w:p>
    <w:p w14:paraId="46679DA2">
      <w:pPr>
        <w:numPr>
          <w:ilvl w:val="2"/>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 Empresário ou sociedade empresária cujos sócios majoritários, nos termos do art. 12, inciso III, da Lei nº 8.429/92, estiverem proibidos de contratar com o Poder Público ou receber benefícios ou incentivos fiscais ou creditícios, direta ou indiretamente, ainda que por intermédio de pessoa jurídica (Lei da Improbidade Administrativa);</w:t>
      </w:r>
    </w:p>
    <w:p w14:paraId="715B0CC1">
      <w:pPr>
        <w:numPr>
          <w:ilvl w:val="2"/>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  Sociedade estrangeira não autorizada a funcionar no País;</w:t>
      </w:r>
    </w:p>
    <w:p w14:paraId="4D0545EB">
      <w:pPr>
        <w:numPr>
          <w:ilvl w:val="2"/>
          <w:numId w:val="4"/>
        </w:numPr>
        <w:tabs>
          <w:tab w:val="left" w:pos="709"/>
          <w:tab w:val="left" w:pos="1134"/>
        </w:tabs>
        <w:spacing w:before="113" w:line="360" w:lineRule="auto"/>
        <w:ind w:left="284" w:right="747" w:firstLine="0"/>
        <w:jc w:val="both"/>
        <w:rPr>
          <w:rFonts w:ascii="Arial" w:hAnsi="Arial" w:cs="Arial"/>
          <w:b/>
          <w:bCs/>
          <w:w w:val="110"/>
          <w:lang w:val="pt-BR"/>
        </w:rPr>
      </w:pPr>
      <w:r>
        <w:rPr>
          <w:rFonts w:ascii="Arial" w:hAnsi="Arial" w:cs="Arial"/>
          <w:b/>
          <w:bCs/>
          <w:w w:val="110"/>
          <w:lang w:val="pt-BR"/>
        </w:rPr>
        <w:t>- Será considerado comportamento inidôneo, o comparecimento na licitação do interessado que se apresente para participar do procedimento licitatório e esteja enquadrado nas hipóteses dos impedimentos e vedações aqui elencados.</w:t>
      </w:r>
    </w:p>
    <w:p w14:paraId="43662BE2">
      <w:pPr>
        <w:numPr>
          <w:ilvl w:val="0"/>
          <w:numId w:val="4"/>
        </w:numPr>
        <w:tabs>
          <w:tab w:val="left" w:pos="709"/>
        </w:tabs>
        <w:spacing w:before="199" w:line="360" w:lineRule="auto"/>
        <w:ind w:left="284" w:right="747" w:firstLine="0"/>
        <w:jc w:val="both"/>
        <w:outlineLvl w:val="0"/>
        <w:rPr>
          <w:rFonts w:ascii="Arial" w:hAnsi="Arial" w:eastAsia="Gill Sans MT" w:cs="Arial"/>
          <w:b/>
          <w:bCs/>
          <w:spacing w:val="-3"/>
          <w:lang w:val="pt-BR"/>
        </w:rPr>
      </w:pPr>
      <w:r>
        <w:rPr>
          <w:rFonts w:ascii="Arial" w:hAnsi="Arial" w:eastAsia="Gill Sans MT" w:cs="Arial"/>
          <w:b/>
          <w:bCs/>
          <w:spacing w:val="-3"/>
          <w:lang w:val="pt-BR"/>
        </w:rPr>
        <w:t xml:space="preserve"> </w:t>
      </w:r>
      <w:bookmarkStart w:id="37" w:name="_Toc151457787"/>
      <w:bookmarkStart w:id="38" w:name="_Toc62718160"/>
      <w:r>
        <w:rPr>
          <w:rFonts w:ascii="Arial" w:hAnsi="Arial" w:eastAsia="Gill Sans MT" w:cs="Arial"/>
          <w:b/>
          <w:bCs/>
          <w:spacing w:val="-3"/>
          <w:lang w:val="pt-BR"/>
        </w:rPr>
        <w:t>ENVIO DAS PROPOSTAS DE PREÇOS</w:t>
      </w:r>
      <w:bookmarkEnd w:id="37"/>
      <w:r>
        <w:rPr>
          <w:rFonts w:ascii="Arial" w:hAnsi="Arial" w:eastAsia="Gill Sans MT" w:cs="Arial"/>
          <w:b/>
          <w:bCs/>
          <w:spacing w:val="-3"/>
          <w:lang w:val="pt-BR"/>
        </w:rPr>
        <w:t xml:space="preserve"> </w:t>
      </w:r>
      <w:bookmarkEnd w:id="38"/>
    </w:p>
    <w:p w14:paraId="41AE6241">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As licitantes encaminharão, exclusivamente por meio do sistema eletrônico Compras.gov.br, suas respectivas propostas com a descrição do objeto e os preços ofertados, ou o percentual de desconto, conforme o critério de julgamento adotado neste Edital, até a data e o horário estabelecidos para abertura da sessão pública, quando, então, encerrar-se-á automaticamente a etapa de envio dessa documentação.</w:t>
      </w:r>
    </w:p>
    <w:p w14:paraId="5B336913">
      <w:pPr>
        <w:numPr>
          <w:ilvl w:val="2"/>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Os licitantes poderão retirar ou substituir a proposta, até a abertura da sessão pública.</w:t>
      </w:r>
    </w:p>
    <w:p w14:paraId="2B14186D">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w:t>
      </w:r>
      <w:bookmarkStart w:id="39" w:name="_Ref113968921"/>
      <w:r>
        <w:rPr>
          <w:rFonts w:ascii="Arial" w:hAnsi="Arial" w:cs="Arial"/>
          <w:w w:val="110"/>
          <w:lang w:val="pt-BR"/>
        </w:rPr>
        <w:t>No cadastramento da proposta inicial, o licitante declarará, em campo próprio do sistema, que:</w:t>
      </w:r>
      <w:bookmarkEnd w:id="39"/>
    </w:p>
    <w:p w14:paraId="41C0AEAD">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88DDA1B">
      <w:pPr>
        <w:numPr>
          <w:ilvl w:val="1"/>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9"/>
          <w:rFonts w:ascii="Arial" w:hAnsi="Arial" w:cs="Arial"/>
          <w:w w:val="110"/>
          <w:lang w:val="pt-BR"/>
        </w:rPr>
        <w:t>artigo 7°, XXXIII, da Constituição</w:t>
      </w:r>
      <w:r>
        <w:rPr>
          <w:rStyle w:val="9"/>
          <w:rFonts w:ascii="Arial" w:hAnsi="Arial" w:cs="Arial"/>
          <w:w w:val="110"/>
          <w:lang w:val="pt-BR"/>
        </w:rPr>
        <w:fldChar w:fldCharType="end"/>
      </w:r>
      <w:r>
        <w:rPr>
          <w:rFonts w:ascii="Arial" w:hAnsi="Arial" w:cs="Arial"/>
          <w:w w:val="110"/>
          <w:lang w:val="pt-BR"/>
        </w:rPr>
        <w:t xml:space="preserve">, </w:t>
      </w:r>
      <w:bookmarkStart w:id="40" w:name="_Hlk199345333"/>
      <w:r>
        <w:rPr>
          <w:rFonts w:ascii="Arial" w:hAnsi="Arial" w:cs="Arial"/>
          <w:w w:val="110"/>
          <w:lang w:val="pt-BR"/>
        </w:rPr>
        <w:t>conforme estabelecido na consolidação das Leis do Trabalho – CLT aprovadas pelo Decreto-Lei no 5.452, de 1o de maio de 1943, e alterações posteriores;</w:t>
      </w:r>
      <w:bookmarkEnd w:id="40"/>
    </w:p>
    <w:p w14:paraId="2EFCF640">
      <w:pPr>
        <w:numPr>
          <w:ilvl w:val="1"/>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w:t>
      </w:r>
      <w:bookmarkStart w:id="41" w:name="_Hlk131603423"/>
      <w:r>
        <w:rPr>
          <w:rFonts w:ascii="Arial" w:hAnsi="Arial" w:cs="Arial"/>
          <w:w w:val="110"/>
          <w:lang w:val="pt-BR"/>
        </w:rPr>
        <w:t xml:space="preserve">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9"/>
          <w:rFonts w:ascii="Arial" w:hAnsi="Arial" w:cs="Arial"/>
          <w:w w:val="110"/>
          <w:lang w:val="pt-BR"/>
        </w:rPr>
        <w:t>incisos III e IV do art. 1º e no inciso III do art. 5º da Constituição Federal</w:t>
      </w:r>
      <w:r>
        <w:rPr>
          <w:rStyle w:val="9"/>
          <w:rFonts w:ascii="Arial" w:hAnsi="Arial" w:cs="Arial"/>
          <w:w w:val="110"/>
          <w:lang w:val="pt-BR"/>
        </w:rPr>
        <w:fldChar w:fldCharType="end"/>
      </w:r>
      <w:r>
        <w:rPr>
          <w:rFonts w:ascii="Arial" w:hAnsi="Arial" w:cs="Arial"/>
          <w:w w:val="110"/>
          <w:lang w:val="pt-BR"/>
        </w:rPr>
        <w:t>;</w:t>
      </w:r>
      <w:bookmarkEnd w:id="41"/>
    </w:p>
    <w:p w14:paraId="63742668">
      <w:pPr>
        <w:numPr>
          <w:ilvl w:val="1"/>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Cumpre as exigências de reserva de cargos para pessoa com deficiência e para reabilitado da Previdência Social, previstas em lei e em outras normas específicas.</w:t>
      </w:r>
    </w:p>
    <w:p w14:paraId="372A8B08">
      <w:pPr>
        <w:numPr>
          <w:ilvl w:val="1"/>
          <w:numId w:val="4"/>
        </w:numPr>
        <w:tabs>
          <w:tab w:val="left" w:pos="993"/>
        </w:tabs>
        <w:spacing w:before="113" w:line="360" w:lineRule="auto"/>
        <w:ind w:left="284" w:right="747" w:firstLine="0"/>
        <w:jc w:val="both"/>
        <w:rPr>
          <w:rStyle w:val="9"/>
          <w:rFonts w:ascii="Arial" w:hAnsi="Arial" w:cs="Arial"/>
          <w:color w:val="auto"/>
          <w:w w:val="110"/>
          <w:u w:val="none"/>
          <w:lang w:val="pt-BR"/>
        </w:rPr>
      </w:pPr>
      <w:r>
        <w:rPr>
          <w:rFonts w:ascii="Arial" w:hAnsi="Arial" w:cs="Arial"/>
          <w:w w:val="110"/>
          <w:lang w:val="pt-BR"/>
        </w:rPr>
        <w:t xml:space="preserve">- </w:t>
      </w:r>
      <w:bookmarkStart w:id="42" w:name="_Ref117000019"/>
      <w:r>
        <w:rPr>
          <w:rFonts w:ascii="Arial" w:hAnsi="Arial" w:cs="Arial"/>
          <w:w w:val="110"/>
          <w:lang w:val="pt-BR"/>
        </w:rPr>
        <w:t xml:space="preserve">O fornecedor enquadrado como microempresa, empresa de pequeno porte ou sociedade cooperativa deverá declarar, ainda, em campo próprio do sistema eletrônico, que cumpre os requisitos estabelecidos no </w:t>
      </w:r>
      <w:r>
        <w:fldChar w:fldCharType="begin"/>
      </w:r>
      <w:r>
        <w:instrText xml:space="preserve"> HYPERLINK "https://www.planalto.gov.br/ccivil_03/leis/lcp/lcp123.htm" \l "art3" </w:instrText>
      </w:r>
      <w:r>
        <w:fldChar w:fldCharType="separate"/>
      </w:r>
      <w:r>
        <w:rPr>
          <w:rStyle w:val="9"/>
          <w:rFonts w:ascii="Arial" w:hAnsi="Arial" w:cs="Arial"/>
          <w:w w:val="110"/>
          <w:lang w:val="pt-BR"/>
        </w:rPr>
        <w:t>artigo 3° da Lei Complementar nº 123, de 2006</w:t>
      </w:r>
      <w:r>
        <w:rPr>
          <w:rStyle w:val="9"/>
          <w:rFonts w:ascii="Arial" w:hAnsi="Arial" w:cs="Arial"/>
          <w:w w:val="110"/>
          <w:lang w:val="pt-BR"/>
        </w:rPr>
        <w:fldChar w:fldCharType="end"/>
      </w:r>
      <w:r>
        <w:rPr>
          <w:rFonts w:ascii="Arial" w:hAnsi="Arial" w:cs="Arial"/>
          <w:w w:val="110"/>
          <w:lang w:val="pt-BR"/>
        </w:rPr>
        <w:t xml:space="preserve">, estando apto a usufruir do tratamento favorecido estabelecido em seus </w:t>
      </w:r>
      <w:bookmarkEnd w:id="42"/>
      <w:r>
        <w:rPr>
          <w:rFonts w:ascii="Arial" w:hAnsi="Arial" w:cs="Arial"/>
          <w:w w:val="110"/>
          <w:lang w:val="pt-BR"/>
        </w:rPr>
        <w:fldChar w:fldCharType="begin"/>
      </w:r>
      <w:r>
        <w:rPr>
          <w:rFonts w:ascii="Arial" w:hAnsi="Arial" w:cs="Arial"/>
          <w:w w:val="110"/>
          <w:lang w:val="pt-BR"/>
        </w:rPr>
        <w:instrText xml:space="preserve"> HYPERLINK "https://www.planalto.gov.br/ccivil_03/leis/lcp/lcp123.htm" \l "art42" </w:instrText>
      </w:r>
      <w:r>
        <w:rPr>
          <w:rFonts w:ascii="Arial" w:hAnsi="Arial" w:cs="Arial"/>
          <w:w w:val="110"/>
          <w:lang w:val="pt-BR"/>
        </w:rPr>
        <w:fldChar w:fldCharType="separate"/>
      </w:r>
      <w:r>
        <w:rPr>
          <w:rStyle w:val="9"/>
          <w:rFonts w:ascii="Arial" w:hAnsi="Arial" w:cs="Arial"/>
          <w:w w:val="110"/>
          <w:lang w:val="pt-BR"/>
        </w:rPr>
        <w:t>arts. 42 a 49</w:t>
      </w:r>
      <w:r>
        <w:rPr>
          <w:rFonts w:ascii="Arial" w:hAnsi="Arial" w:cs="Arial"/>
          <w:w w:val="110"/>
          <w:lang w:val="pt-BR"/>
        </w:rPr>
        <w:fldChar w:fldCharType="end"/>
      </w:r>
      <w:r>
        <w:rPr>
          <w:rFonts w:ascii="Arial" w:hAnsi="Arial" w:cs="Arial"/>
          <w:w w:val="110"/>
          <w:lang w:val="pt-BR"/>
        </w:rPr>
        <w:t xml:space="preserve">, observado o disposto nos </w:t>
      </w:r>
      <w:r>
        <w:fldChar w:fldCharType="begin"/>
      </w:r>
      <w:r>
        <w:instrText xml:space="preserve"> HYPERLINK "http://www.planalto.gov.br/ccivil_03/_ato2019-2022/2021/lei/L14133.htm" \l "art4§1" </w:instrText>
      </w:r>
      <w:r>
        <w:fldChar w:fldCharType="separate"/>
      </w:r>
      <w:r>
        <w:rPr>
          <w:rStyle w:val="9"/>
          <w:rFonts w:ascii="Arial" w:hAnsi="Arial" w:cs="Arial"/>
          <w:w w:val="110"/>
          <w:lang w:val="pt-BR"/>
        </w:rPr>
        <w:t>§§ 1º ao 3º do art. 4º, da Lei n.º 14.133, de 2021.</w:t>
      </w:r>
      <w:r>
        <w:rPr>
          <w:rStyle w:val="9"/>
          <w:rFonts w:ascii="Arial" w:hAnsi="Arial" w:cs="Arial"/>
          <w:w w:val="110"/>
          <w:lang w:val="pt-BR"/>
        </w:rPr>
        <w:fldChar w:fldCharType="end"/>
      </w:r>
    </w:p>
    <w:p w14:paraId="1F777A97">
      <w:pPr>
        <w:numPr>
          <w:ilvl w:val="2"/>
          <w:numId w:val="4"/>
        </w:numPr>
        <w:tabs>
          <w:tab w:val="left" w:pos="993"/>
        </w:tabs>
        <w:spacing w:before="113" w:line="360" w:lineRule="auto"/>
        <w:ind w:left="284" w:right="747" w:firstLine="0"/>
        <w:jc w:val="both"/>
        <w:rPr>
          <w:rFonts w:ascii="Arial" w:hAnsi="Arial" w:cs="Arial"/>
          <w:b/>
          <w:bCs/>
          <w:w w:val="110"/>
          <w:lang w:val="pt-BR"/>
        </w:rPr>
      </w:pPr>
      <w:r>
        <w:rPr>
          <w:lang w:val="pt-BR"/>
        </w:rPr>
        <w:t xml:space="preserve"> - </w:t>
      </w:r>
      <w:r>
        <w:rPr>
          <w:rFonts w:ascii="Arial" w:hAnsi="Arial" w:cs="Arial"/>
          <w:w w:val="110"/>
          <w:lang w:val="pt-BR"/>
        </w:rPr>
        <w:t xml:space="preserve">no item exclusivo para participação de microempresas e empresas de pequeno porte, </w:t>
      </w:r>
      <w:r>
        <w:rPr>
          <w:rFonts w:ascii="Arial" w:hAnsi="Arial" w:cs="Arial"/>
          <w:b/>
          <w:bCs/>
          <w:w w:val="110"/>
          <w:lang w:val="pt-BR"/>
        </w:rPr>
        <w:t>se for o caso</w:t>
      </w:r>
      <w:r>
        <w:rPr>
          <w:rFonts w:ascii="Arial" w:hAnsi="Arial" w:cs="Arial"/>
          <w:w w:val="110"/>
          <w:lang w:val="pt-BR"/>
        </w:rPr>
        <w:t>, a assinalação do campo “não” impedirá o prosseguimento no certame, para aquele item</w:t>
      </w:r>
    </w:p>
    <w:p w14:paraId="03E451CC">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nos itens em que a participação não for exclusiva para microempresas e empresas de pequeno porte, a assinalação do campo “não” apenas produzirá o efeito de o licitante não ter direito ao tratamento favorecido previsto na </w:t>
      </w:r>
      <w:r>
        <w:fldChar w:fldCharType="begin"/>
      </w:r>
      <w:r>
        <w:instrText xml:space="preserve"> HYPERLINK "https://www.planalto.gov.br/ccivil_03/leis/lcp/lcp123.htm" </w:instrText>
      </w:r>
      <w:r>
        <w:fldChar w:fldCharType="separate"/>
      </w:r>
      <w:r>
        <w:rPr>
          <w:rStyle w:val="9"/>
          <w:rFonts w:ascii="Arial" w:hAnsi="Arial" w:cs="Arial"/>
          <w:color w:val="auto"/>
          <w:w w:val="110"/>
          <w:lang w:val="pt-BR"/>
        </w:rPr>
        <w:t>Lei Complementar nº 123, de 2006</w:t>
      </w:r>
      <w:r>
        <w:rPr>
          <w:rStyle w:val="9"/>
          <w:rFonts w:ascii="Arial" w:hAnsi="Arial" w:cs="Arial"/>
          <w:color w:val="auto"/>
          <w:w w:val="110"/>
          <w:lang w:val="pt-BR"/>
        </w:rPr>
        <w:fldChar w:fldCharType="end"/>
      </w:r>
      <w:r>
        <w:rPr>
          <w:rFonts w:ascii="Arial" w:hAnsi="Arial" w:cs="Arial"/>
          <w:w w:val="110"/>
          <w:lang w:val="pt-BR"/>
        </w:rPr>
        <w:t>, mesmo que microempresa, empresa de pequeno porte ou sociedade cooperativa.</w:t>
      </w:r>
    </w:p>
    <w:p w14:paraId="36A0E0B9">
      <w:pPr>
        <w:numPr>
          <w:ilvl w:val="1"/>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A falsidade da declaração de que trata os itens 9.3 ao 9.7 sujeitará o licitante às sanções previstas na </w:t>
      </w:r>
      <w:r>
        <w:fldChar w:fldCharType="begin"/>
      </w:r>
      <w:r>
        <w:instrText xml:space="preserve"> HYPERLINK "http://www.planalto.gov.br/ccivil_03/_ato2019-2022/2021/lei/L14133.htm" </w:instrText>
      </w:r>
      <w:r>
        <w:fldChar w:fldCharType="separate"/>
      </w:r>
      <w:r>
        <w:rPr>
          <w:rStyle w:val="9"/>
          <w:rFonts w:ascii="Arial" w:hAnsi="Arial" w:cs="Arial"/>
          <w:w w:val="110"/>
          <w:lang w:val="pt-BR"/>
        </w:rPr>
        <w:t>Lei nº 14.133, de 2021</w:t>
      </w:r>
      <w:r>
        <w:rPr>
          <w:rStyle w:val="9"/>
          <w:rFonts w:ascii="Arial" w:hAnsi="Arial" w:cs="Arial"/>
          <w:w w:val="110"/>
          <w:lang w:val="pt-BR"/>
        </w:rPr>
        <w:fldChar w:fldCharType="end"/>
      </w:r>
      <w:r>
        <w:rPr>
          <w:rFonts w:ascii="Arial" w:hAnsi="Arial" w:cs="Arial"/>
          <w:w w:val="110"/>
          <w:lang w:val="pt-BR"/>
        </w:rPr>
        <w:t>, e neste Edital.</w:t>
      </w:r>
    </w:p>
    <w:p w14:paraId="40D306FF">
      <w:pPr>
        <w:numPr>
          <w:ilvl w:val="1"/>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AC04D9C">
      <w:pPr>
        <w:numPr>
          <w:ilvl w:val="1"/>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Não haverá ordem de classificação na etapa de apresentação da proposta e dos documentos de habilitação pelo licitante, o que ocorrerá somente após os procedimentos de abertura da sessão pública e da fase de envio de lances.</w:t>
      </w:r>
    </w:p>
    <w:p w14:paraId="3E6E45DE">
      <w:pPr>
        <w:numPr>
          <w:ilvl w:val="1"/>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Serão disponibilizados para acesso público os documentos que compõem a proposta dos licitantes convocados para apresentação de propostas, após a fase de envio de lances.</w:t>
      </w:r>
    </w:p>
    <w:p w14:paraId="3324E12A">
      <w:pPr>
        <w:numPr>
          <w:ilvl w:val="1"/>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28DEEA1E">
      <w:pPr>
        <w:numPr>
          <w:ilvl w:val="1"/>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O licitante deverá comunicar imediatamente ao provedor do sistema qualquer acontecimento que possa comprometer o sigilo ou a segurança, para imediato bloqueio de acesso.</w:t>
      </w:r>
    </w:p>
    <w:p w14:paraId="6FC2D2DC">
      <w:pPr>
        <w:pStyle w:val="17"/>
        <w:numPr>
          <w:ilvl w:val="1"/>
          <w:numId w:val="4"/>
        </w:numPr>
        <w:tabs>
          <w:tab w:val="left" w:pos="993"/>
        </w:tabs>
        <w:spacing w:before="113" w:line="360" w:lineRule="auto"/>
        <w:ind w:left="284" w:right="747" w:firstLine="0"/>
        <w:rPr>
          <w:rFonts w:ascii="Arial" w:hAnsi="Arial" w:cs="Arial"/>
          <w:w w:val="110"/>
          <w:lang w:val="pt-BR"/>
        </w:rPr>
      </w:pPr>
      <w:r>
        <w:rPr>
          <w:rFonts w:ascii="Arial" w:hAnsi="Arial" w:cs="Arial"/>
          <w:w w:val="110"/>
          <w:lang w:val="pt-BR"/>
        </w:rPr>
        <w:t>- O formulário da proposta comercial, em sua forma prevista no Anexo III do edital de licitação, somente será utilizado pelo licitante vencedor, com vistas à readequação de sua oferta final.</w:t>
      </w:r>
    </w:p>
    <w:p w14:paraId="3C5886CF">
      <w:pPr>
        <w:pStyle w:val="17"/>
        <w:numPr>
          <w:ilvl w:val="1"/>
          <w:numId w:val="4"/>
        </w:numPr>
        <w:tabs>
          <w:tab w:val="left" w:pos="993"/>
        </w:tabs>
        <w:spacing w:before="113" w:line="360" w:lineRule="auto"/>
        <w:ind w:left="284" w:right="747" w:firstLine="0"/>
        <w:contextualSpacing/>
        <w:rPr>
          <w:rFonts w:ascii="Arial" w:hAnsi="Arial" w:cs="Arial"/>
          <w:w w:val="110"/>
          <w:lang w:val="pt-BR"/>
        </w:rPr>
      </w:pPr>
      <w:r>
        <w:rPr>
          <w:rFonts w:ascii="Arial" w:hAnsi="Arial" w:cs="Arial"/>
          <w:w w:val="110"/>
          <w:lang w:val="pt-BR"/>
        </w:rPr>
        <w:t>- Na ausência da Declaração Unificada – Anexo IV do edital, considera-se válida as Declarações devidamente preenchidas e dispostas no campo próprio do sistema eletrônico, sendo que a Declaração Unificada será solicitada como documento complementar pelo pregoeiro.</w:t>
      </w:r>
    </w:p>
    <w:p w14:paraId="1C55D4B9">
      <w:pPr>
        <w:numPr>
          <w:ilvl w:val="0"/>
          <w:numId w:val="4"/>
        </w:numPr>
        <w:tabs>
          <w:tab w:val="left" w:pos="709"/>
        </w:tabs>
        <w:spacing w:before="199" w:line="360" w:lineRule="auto"/>
        <w:ind w:left="284" w:right="747" w:firstLine="0"/>
        <w:jc w:val="both"/>
        <w:outlineLvl w:val="0"/>
        <w:rPr>
          <w:rFonts w:ascii="Arial" w:hAnsi="Arial" w:eastAsia="Gill Sans MT" w:cs="Arial"/>
          <w:b/>
          <w:bCs/>
          <w:spacing w:val="-3"/>
          <w:lang w:val="pt-BR"/>
        </w:rPr>
      </w:pPr>
      <w:bookmarkStart w:id="43" w:name="_Toc151457788"/>
      <w:r>
        <w:rPr>
          <w:rFonts w:ascii="Arial" w:hAnsi="Arial" w:eastAsia="Gill Sans MT" w:cs="Arial"/>
          <w:b/>
          <w:bCs/>
          <w:spacing w:val="-3"/>
          <w:lang w:val="pt-BR"/>
        </w:rPr>
        <w:t>DO PREENCHIMENTO DA PROPOSTA</w:t>
      </w:r>
      <w:bookmarkEnd w:id="43"/>
    </w:p>
    <w:p w14:paraId="64903940">
      <w:pPr>
        <w:numPr>
          <w:ilvl w:val="1"/>
          <w:numId w:val="4"/>
        </w:numPr>
        <w:tabs>
          <w:tab w:val="left" w:pos="709"/>
        </w:tabs>
        <w:spacing w:before="113" w:line="360" w:lineRule="auto"/>
        <w:ind w:left="284" w:right="747" w:firstLine="0"/>
        <w:jc w:val="both"/>
        <w:rPr>
          <w:rFonts w:ascii="Arial" w:hAnsi="Arial" w:cs="Arial"/>
          <w:w w:val="110"/>
          <w:lang w:val="pt-BR"/>
        </w:rPr>
      </w:pPr>
      <w:r>
        <w:rPr>
          <w:rFonts w:ascii="Arial" w:hAnsi="Arial" w:cs="Arial"/>
          <w:w w:val="110"/>
          <w:lang w:val="pt-BR"/>
        </w:rPr>
        <w:t>- O licitante deverá enviar sua proposta mediante o preenchimento, no sistema eletrônico, dos seguintes campos:</w:t>
      </w:r>
    </w:p>
    <w:p w14:paraId="0BF12891">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valor unitário e total do item;</w:t>
      </w:r>
    </w:p>
    <w:p w14:paraId="3DADEDC3">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Marca;</w:t>
      </w:r>
    </w:p>
    <w:p w14:paraId="54871653">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Fabricante; </w:t>
      </w:r>
    </w:p>
    <w:p w14:paraId="5D7048BD">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Descrição detalhada do objeto, contendo as informações similares à especificação do Termo de Referência: indicando, no que for aplicável, o modelo, prazo de validade ou de garantia, número do registro ou inscrição do bem no órgão competente, quando for o caso;</w:t>
      </w:r>
    </w:p>
    <w:p w14:paraId="37A36BA7">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Todas as especificações do objeto contidas na proposta vinculam a licitante.</w:t>
      </w:r>
    </w:p>
    <w:p w14:paraId="57FC0512">
      <w:pPr>
        <w:numPr>
          <w:ilvl w:val="3"/>
          <w:numId w:val="4"/>
        </w:numPr>
        <w:tabs>
          <w:tab w:val="left" w:pos="1134"/>
        </w:tabs>
        <w:spacing w:before="113" w:line="360" w:lineRule="auto"/>
        <w:ind w:left="284" w:right="747" w:firstLine="0"/>
        <w:jc w:val="both"/>
        <w:rPr>
          <w:rFonts w:ascii="Arial" w:hAnsi="Arial" w:cs="Arial"/>
          <w:b/>
          <w:bCs/>
          <w:w w:val="110"/>
          <w:lang w:val="pt-BR"/>
        </w:rPr>
      </w:pPr>
      <w:bookmarkStart w:id="44" w:name="_Hlk137476794"/>
      <w:r>
        <w:rPr>
          <w:rFonts w:ascii="Arial" w:hAnsi="Arial" w:cs="Arial"/>
          <w:b/>
          <w:bCs/>
          <w:w w:val="110"/>
          <w:lang w:val="pt-BR"/>
        </w:rPr>
        <w:t>- O licitante NÃO poderá oferecer proposta em quantitativo inferior ao máximo previsto para contratação.</w:t>
      </w:r>
    </w:p>
    <w:bookmarkEnd w:id="44"/>
    <w:p w14:paraId="1365BC37">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Nos valores propostos estarão inclusos todos os custos operacionais, encargos previdenciários, trabalhistas, tributários, comerciais e quaisquer outros que incidam direta ou indiretamente na execução do objeto.</w:t>
      </w:r>
    </w:p>
    <w:p w14:paraId="40F23597">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Os preços ofertados, tanto na proposta inicial, quanto na etapa de lances, serão de exclusiva responsabilidade do licitante, não lhe assistindo o direito de pleitear qualquer alteração, sob alegação de erro, omissão ou qualquer outro pretexto.</w:t>
      </w:r>
    </w:p>
    <w:p w14:paraId="160B0BB6">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Se o regime tributário da empresa implicar o recolhimento de tributos em percentuais variáveis, a cotação adequada será a que corresponde à média dos efetivos recolhimentos da empresa nos últimos doze meses. </w:t>
      </w:r>
    </w:p>
    <w:p w14:paraId="40CCFBF7">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Independentemente do percentual de tributo inserido na planilha, no pagamento serão retidos na fonte os percentuais estabelecidos na legislação vigente.</w:t>
      </w:r>
    </w:p>
    <w:p w14:paraId="45FA3879">
      <w:pPr>
        <w:numPr>
          <w:ilvl w:val="2"/>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2B555525">
      <w:pPr>
        <w:numPr>
          <w:ilvl w:val="2"/>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 O prazo de validade da proposta comercial será de 90 (noventa) dias contados da data limite para apresentação das propostas.</w:t>
      </w:r>
    </w:p>
    <w:p w14:paraId="03B04875">
      <w:pPr>
        <w:numPr>
          <w:ilvl w:val="2"/>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Se por motivo de força maior, a adjudicação não puder ocorrer dentro do período de validade da proposta, e caso, persista o interesse do Município este poderá solicitar a prorrogação da validade da proposta por igual prazo.</w:t>
      </w:r>
    </w:p>
    <w:p w14:paraId="7B678492">
      <w:pPr>
        <w:numPr>
          <w:ilvl w:val="2"/>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b/>
          <w:bCs/>
          <w:w w:val="110"/>
          <w:lang w:val="pt-BR"/>
        </w:rPr>
        <w:t>- O descumprimento das regras supramencionadas pela Administração ou por parte dos contratados pode ensejar a responsabilização pelos órgão de controle externo,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r>
        <w:rPr>
          <w:rFonts w:ascii="Arial" w:hAnsi="Arial" w:cs="Arial"/>
          <w:w w:val="110"/>
          <w:lang w:val="pt-BR"/>
        </w:rPr>
        <w:t>.</w:t>
      </w:r>
    </w:p>
    <w:p w14:paraId="75F512D5">
      <w:pPr>
        <w:numPr>
          <w:ilvl w:val="0"/>
          <w:numId w:val="0"/>
        </w:numPr>
        <w:tabs>
          <w:tab w:val="left" w:pos="1134"/>
        </w:tabs>
        <w:spacing w:before="113" w:line="360" w:lineRule="auto"/>
        <w:ind w:left="284" w:leftChars="0" w:right="747" w:rightChars="0"/>
        <w:jc w:val="both"/>
        <w:rPr>
          <w:rFonts w:ascii="Arial" w:hAnsi="Arial" w:cs="Arial"/>
          <w:b/>
          <w:bCs/>
          <w:i w:val="0"/>
          <w:iCs w:val="0"/>
          <w:w w:val="110"/>
          <w:highlight w:val="none"/>
          <w:u w:val="single"/>
          <w:lang w:val="pt-BR"/>
        </w:rPr>
      </w:pPr>
      <w:r>
        <w:rPr>
          <w:rFonts w:hint="default" w:ascii="Arial" w:hAnsi="Arial" w:cs="Arial"/>
          <w:b/>
          <w:bCs/>
          <w:i w:val="0"/>
          <w:iCs w:val="0"/>
          <w:w w:val="110"/>
          <w:highlight w:val="none"/>
          <w:u w:val="single"/>
          <w:lang w:val="pt-BR"/>
        </w:rPr>
        <w:t>10.2 DA GARANTIA:</w:t>
      </w:r>
    </w:p>
    <w:p w14:paraId="19565E0D">
      <w:pPr>
        <w:keepNext w:val="0"/>
        <w:keepLines w:val="0"/>
        <w:pageBreakBefore w:val="0"/>
        <w:widowControl w:val="0"/>
        <w:numPr>
          <w:ilvl w:val="0"/>
          <w:numId w:val="0"/>
        </w:numPr>
        <w:tabs>
          <w:tab w:val="left" w:pos="1134"/>
        </w:tabs>
        <w:kinsoku/>
        <w:wordWrap/>
        <w:overflowPunct/>
        <w:topLinePunct w:val="0"/>
        <w:autoSpaceDE w:val="0"/>
        <w:autoSpaceDN w:val="0"/>
        <w:bidi w:val="0"/>
        <w:adjustRightInd/>
        <w:snapToGrid/>
        <w:spacing w:before="113" w:line="288" w:lineRule="auto"/>
        <w:ind w:left="283" w:leftChars="0" w:right="748" w:rightChars="0"/>
        <w:jc w:val="both"/>
        <w:textAlignment w:val="auto"/>
        <w:rPr>
          <w:rFonts w:hint="default" w:ascii="Arial" w:hAnsi="Arial" w:cs="Arial"/>
          <w:w w:val="110"/>
          <w:highlight w:val="none"/>
          <w:lang w:val="pt-BR"/>
        </w:rPr>
      </w:pPr>
      <w:r>
        <w:rPr>
          <w:rFonts w:hint="default" w:ascii="Arial" w:hAnsi="Arial" w:cs="Arial"/>
          <w:w w:val="110"/>
          <w:highlight w:val="none"/>
          <w:lang w:val="pt-BR"/>
        </w:rPr>
        <w:t xml:space="preserve">10.2.1 - </w:t>
      </w:r>
      <w:r>
        <w:rPr>
          <w:rFonts w:hint="default" w:ascii="Arial" w:hAnsi="Arial" w:cs="Arial"/>
          <w:w w:val="110"/>
          <w:highlight w:val="none"/>
          <w:lang w:val="pt-BR" w:eastAsia="zh-CN"/>
        </w:rPr>
        <w:t>O licitante deverá, nos termos estabelecidos no Termo de Referência desta</w:t>
      </w:r>
    </w:p>
    <w:p w14:paraId="1BEA785B">
      <w:pPr>
        <w:numPr>
          <w:ilvl w:val="0"/>
          <w:numId w:val="0"/>
        </w:numPr>
        <w:tabs>
          <w:tab w:val="left" w:pos="1134"/>
        </w:tabs>
        <w:spacing w:before="113" w:line="360" w:lineRule="auto"/>
        <w:ind w:left="284" w:leftChars="0" w:right="747" w:rightChars="0"/>
        <w:jc w:val="both"/>
        <w:rPr>
          <w:rFonts w:hint="default" w:ascii="Arial" w:hAnsi="Arial" w:cs="Arial"/>
          <w:w w:val="110"/>
          <w:highlight w:val="none"/>
          <w:lang w:val="pt-BR"/>
        </w:rPr>
      </w:pPr>
      <w:r>
        <w:rPr>
          <w:rFonts w:hint="default" w:ascii="Arial" w:hAnsi="Arial" w:cs="Arial"/>
          <w:w w:val="110"/>
          <w:highlight w:val="none"/>
          <w:lang w:val="pt-BR" w:eastAsia="zh-CN"/>
        </w:rPr>
        <w:t xml:space="preserve">contratação, item 7.5.1 e seguintes, </w:t>
      </w:r>
      <w:r>
        <w:rPr>
          <w:rFonts w:hint="default" w:ascii="Arial" w:hAnsi="Arial"/>
          <w:w w:val="110"/>
          <w:highlight w:val="none"/>
          <w:lang w:val="pt-BR" w:eastAsia="zh-CN"/>
        </w:rPr>
        <w:t>no momento da apresentação da proposta, apresentar</w:t>
      </w:r>
      <w:r>
        <w:rPr>
          <w:rFonts w:hint="default" w:ascii="Arial" w:hAnsi="Arial" w:cs="Arial"/>
          <w:w w:val="110"/>
          <w:highlight w:val="none"/>
          <w:lang w:val="pt-BR"/>
        </w:rPr>
        <w:t xml:space="preserve"> garantia de proposta no patamar de 1% (um por cento) do valor estimado da presente contratação, a qual atingirá o valor total de R$ 105.673,13 (cento e cinco mil, seiscentos e setenta e três reais e treze centavos).</w:t>
      </w:r>
    </w:p>
    <w:p w14:paraId="49B51D86">
      <w:pPr>
        <w:numPr>
          <w:ilvl w:val="0"/>
          <w:numId w:val="0"/>
        </w:numPr>
        <w:tabs>
          <w:tab w:val="left" w:pos="1134"/>
        </w:tabs>
        <w:spacing w:before="113" w:line="360" w:lineRule="auto"/>
        <w:ind w:left="284" w:leftChars="0" w:right="747" w:rightChars="0"/>
        <w:jc w:val="both"/>
        <w:rPr>
          <w:rFonts w:hint="default" w:ascii="Arial" w:hAnsi="Arial" w:cs="Arial"/>
          <w:w w:val="110"/>
          <w:highlight w:val="none"/>
          <w:lang w:val="pt-BR"/>
        </w:rPr>
      </w:pPr>
      <w:r>
        <w:rPr>
          <w:rFonts w:hint="default" w:ascii="Arial" w:hAnsi="Arial" w:cs="Arial"/>
          <w:w w:val="110"/>
          <w:highlight w:val="none"/>
          <w:lang w:val="pt-BR"/>
        </w:rPr>
        <w:t xml:space="preserve">10.2.2 - As garantias ofertadas deverão ser uma das previstas no artigo 58, </w:t>
      </w:r>
      <w:r>
        <w:rPr>
          <w:i w:val="0"/>
          <w:iCs/>
          <w:color w:val="auto"/>
          <w:highlight w:val="none"/>
        </w:rPr>
        <w:fldChar w:fldCharType="begin"/>
      </w:r>
      <w:r>
        <w:rPr>
          <w:i w:val="0"/>
          <w:iCs/>
          <w:color w:val="auto"/>
          <w:highlight w:val="none"/>
        </w:rPr>
        <w:instrText xml:space="preserve"> HYPERLINK "http://www.planalto.gov.br/ccivil_03/_ato2019-2022/2021/lei/L14133.htm" \l "art96" </w:instrText>
      </w:r>
      <w:r>
        <w:rPr>
          <w:i w:val="0"/>
          <w:iCs/>
          <w:color w:val="auto"/>
          <w:highlight w:val="none"/>
        </w:rPr>
        <w:fldChar w:fldCharType="separate"/>
      </w:r>
      <w:r>
        <w:rPr>
          <w:bCs/>
          <w:i w:val="0"/>
          <w:iCs/>
          <w:color w:val="auto"/>
          <w:highlight w:val="none"/>
          <w:lang w:val="pt-BR"/>
        </w:rPr>
        <w:t>da Lei nº 14.133</w:t>
      </w:r>
      <w:r>
        <w:rPr>
          <w:bCs/>
          <w:i w:val="0"/>
          <w:iCs/>
          <w:color w:val="auto"/>
          <w:highlight w:val="none"/>
          <w:lang w:val="pt-BR"/>
        </w:rPr>
        <w:fldChar w:fldCharType="end"/>
      </w:r>
      <w:r>
        <w:rPr>
          <w:bCs/>
          <w:i w:val="0"/>
          <w:iCs/>
          <w:color w:val="auto"/>
          <w:highlight w:val="none"/>
          <w:lang w:val="pt-BR"/>
        </w:rPr>
        <w:t>, de 2021</w:t>
      </w:r>
      <w:r>
        <w:rPr>
          <w:rFonts w:hint="default" w:ascii="Arial" w:hAnsi="Arial" w:cs="Arial"/>
          <w:w w:val="110"/>
          <w:highlight w:val="none"/>
          <w:lang w:val="pt-BR"/>
        </w:rPr>
        <w:t>, quais sejam: caução em dinheiro ou em títulos da dívida pública; seguro-garantia; e fiança bancária.</w:t>
      </w:r>
    </w:p>
    <w:p w14:paraId="13E1434D">
      <w:pPr>
        <w:numPr>
          <w:ilvl w:val="0"/>
          <w:numId w:val="4"/>
        </w:numPr>
        <w:tabs>
          <w:tab w:val="left" w:pos="709"/>
        </w:tabs>
        <w:spacing w:before="199" w:line="360" w:lineRule="auto"/>
        <w:ind w:left="284" w:right="747" w:firstLine="0"/>
        <w:jc w:val="both"/>
        <w:outlineLvl w:val="0"/>
        <w:rPr>
          <w:rFonts w:ascii="Arial" w:hAnsi="Arial" w:eastAsia="Gill Sans MT" w:cs="Arial"/>
          <w:b/>
          <w:bCs/>
          <w:spacing w:val="-3"/>
          <w:lang w:val="pt-BR"/>
        </w:rPr>
      </w:pPr>
      <w:bookmarkStart w:id="45" w:name="_Toc151457789"/>
      <w:r>
        <w:rPr>
          <w:rFonts w:ascii="Arial" w:hAnsi="Arial" w:eastAsia="Gill Sans MT" w:cs="Arial"/>
          <w:b/>
          <w:bCs/>
          <w:spacing w:val="-3"/>
          <w:lang w:val="pt-BR"/>
        </w:rPr>
        <w:t>MODO DE DISPUTA</w:t>
      </w:r>
      <w:bookmarkEnd w:id="45"/>
    </w:p>
    <w:p w14:paraId="250DC070">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Será adotado neste pregão eletrônico o modo de disputa </w:t>
      </w:r>
      <w:r>
        <w:rPr>
          <w:rFonts w:ascii="Arial" w:hAnsi="Arial" w:cs="Arial"/>
          <w:b/>
          <w:bCs/>
          <w:w w:val="110"/>
          <w:lang w:val="pt-BR"/>
        </w:rPr>
        <w:t>“aberto e fechado”</w:t>
      </w:r>
      <w:r>
        <w:rPr>
          <w:rFonts w:ascii="Arial" w:hAnsi="Arial" w:cs="Arial"/>
          <w:w w:val="110"/>
          <w:lang w:val="pt-BR"/>
        </w:rPr>
        <w:t>, em que os licitantes apresentarão lances públicos e sucessivos.</w:t>
      </w:r>
    </w:p>
    <w:p w14:paraId="1B9C6168">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Aberta a etapa competitiva, as licitantes classificadas poderão encaminhar lances, exclusivamente por meio do sistema eletrônico, sendo imediatamente informadas do recebimento e respectivo horário de registro e valor.</w:t>
      </w:r>
    </w:p>
    <w:p w14:paraId="595188A7">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A etapa de lances da sessão pública terá duração inicial de 15 (quinze) minutos. Decorrido esse prazo, o sistema encaminhará aviso de fechamento iminente dos lances, após o que transcorrerá o período de tempo de até 10 (dez)minutos, aleatoriamente determinado, findo o qual será automaticamente encerrada a recepção de lances.</w:t>
      </w:r>
    </w:p>
    <w:p w14:paraId="27F45F83">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Encerrado o prazo previsto no item 11.3, o sistema abrirá a oportunidade para que o autor da oferta de valor mais baixo e os das ofertas com preços até 10% (dez) por cento superior àquela possam ofertar um lance final e fechado em até 05 (cinco) minutos, o qual será sigiloso até o encerramento deste prazo.</w:t>
      </w:r>
    </w:p>
    <w:p w14:paraId="6500ED32">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Não havendo pelo menos 03 (três) ofertas nas condições definidas neste item, poderão os autores dos melhores lances, na ordem de classificação, até o máximo de 03 (três), oferecer um lance final e fechado em até 05 (cinco) minutos, o qual será sigiloso até o encerramento deste prazo.</w:t>
      </w:r>
    </w:p>
    <w:p w14:paraId="6F987160">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Após o término dos prazos estabelecidos nos itens anteriores, o sistema ordenará os lances segundo a ordem crescente de valores.</w:t>
      </w:r>
    </w:p>
    <w:p w14:paraId="46426463">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Não havendo lance final classificado nas formas estabelecidas nos itens anteriores, haverá o reinício da etapa fechada, para que os demais licitantes, até o máximo de 03 (três), na ordem de classificação, possam ofertar um lance final e fechado em até 05 (cinco) minutos, o qual será sigiloso até o encerramento deste prazo.</w:t>
      </w:r>
    </w:p>
    <w:p w14:paraId="7C12152F">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Na hipótese de não haver licitante classificado na etapa de lance fechado que atenda às exigências para habilitação, o pregoeiro poderá, auxiliado pela equipe de apoio, mediante justificativa, admitir o reinício da etapa fechada.</w:t>
      </w:r>
    </w:p>
    <w:p w14:paraId="0FC413CE">
      <w:pPr>
        <w:numPr>
          <w:ilvl w:val="0"/>
          <w:numId w:val="4"/>
        </w:numPr>
        <w:tabs>
          <w:tab w:val="left" w:pos="709"/>
        </w:tabs>
        <w:spacing w:before="199" w:line="360" w:lineRule="auto"/>
        <w:ind w:left="284" w:right="747" w:firstLine="0"/>
        <w:jc w:val="both"/>
        <w:outlineLvl w:val="0"/>
        <w:rPr>
          <w:rFonts w:ascii="Arial" w:hAnsi="Arial" w:eastAsia="Gill Sans MT" w:cs="Arial"/>
          <w:b/>
          <w:bCs/>
          <w:spacing w:val="-3"/>
          <w:lang w:val="pt-BR"/>
        </w:rPr>
      </w:pPr>
      <w:bookmarkStart w:id="46" w:name="_Toc151457790"/>
      <w:bookmarkStart w:id="47" w:name="_Toc122606107"/>
      <w:r>
        <w:rPr>
          <w:rFonts w:ascii="Arial" w:hAnsi="Arial" w:eastAsia="Gill Sans MT" w:cs="Arial"/>
          <w:b/>
          <w:bCs/>
          <w:spacing w:val="-3"/>
          <w:lang w:val="pt-BR"/>
        </w:rPr>
        <w:t>DA ABERTURA DA SESSÃO, CLASSIFICAÇÃO DAS PROPOSTAS E FORMULAÇÃO DE LANCES</w:t>
      </w:r>
      <w:bookmarkEnd w:id="46"/>
      <w:bookmarkEnd w:id="47"/>
    </w:p>
    <w:p w14:paraId="5E3ACA9A">
      <w:pPr>
        <w:numPr>
          <w:ilvl w:val="1"/>
          <w:numId w:val="4"/>
        </w:numPr>
        <w:tabs>
          <w:tab w:val="left" w:pos="709"/>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w:t>
      </w:r>
      <w:bookmarkStart w:id="48" w:name="_Hlk131606158"/>
      <w:r>
        <w:rPr>
          <w:rFonts w:ascii="Arial" w:hAnsi="Arial" w:cs="Arial"/>
          <w:w w:val="110"/>
          <w:lang w:val="pt-BR"/>
        </w:rPr>
        <w:t xml:space="preserve">A abertura da presente licitação dar-se-á automaticamente em sessão pública, por meio de sistema eletrônico, na data, horário indicados no preâmbulo deste edital no endereço eletrônico </w:t>
      </w:r>
      <w:r>
        <w:fldChar w:fldCharType="begin"/>
      </w:r>
      <w:r>
        <w:instrText xml:space="preserve"> HYPERLINK "http://www.gov.br/compras" </w:instrText>
      </w:r>
      <w:r>
        <w:fldChar w:fldCharType="separate"/>
      </w:r>
      <w:r>
        <w:rPr>
          <w:rStyle w:val="9"/>
          <w:rFonts w:ascii="Arial" w:hAnsi="Arial" w:cs="Arial"/>
          <w:w w:val="110"/>
          <w:lang w:val="pt-BR"/>
        </w:rPr>
        <w:t>www.gov.br/compras</w:t>
      </w:r>
      <w:r>
        <w:rPr>
          <w:rStyle w:val="9"/>
          <w:rFonts w:ascii="Arial" w:hAnsi="Arial" w:cs="Arial"/>
          <w:w w:val="110"/>
          <w:lang w:val="pt-BR"/>
        </w:rPr>
        <w:fldChar w:fldCharType="end"/>
      </w:r>
      <w:r>
        <w:rPr>
          <w:rFonts w:ascii="Arial" w:hAnsi="Arial" w:cs="Arial"/>
          <w:w w:val="110"/>
          <w:lang w:val="pt-BR"/>
        </w:rPr>
        <w:t xml:space="preserve"> .</w:t>
      </w:r>
    </w:p>
    <w:p w14:paraId="7C786C88">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75CA2B4">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O sistema disponibilizará campo próprio para troca de mensagens entre o Pregoeiro e os licitantes.</w:t>
      </w:r>
    </w:p>
    <w:bookmarkEnd w:id="48"/>
    <w:p w14:paraId="765DC568">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Iniciada a etapa competitiva, os licitantes deverão encaminhar lances exclusivamente por meio de sistema eletrônico, sendo imediatamente informados do seu recebimento e do valor consignado no registro. </w:t>
      </w:r>
    </w:p>
    <w:p w14:paraId="1AA49CDD">
      <w:pPr>
        <w:numPr>
          <w:ilvl w:val="1"/>
          <w:numId w:val="4"/>
        </w:numPr>
        <w:tabs>
          <w:tab w:val="left" w:pos="851"/>
        </w:tabs>
        <w:spacing w:before="113" w:line="360" w:lineRule="auto"/>
        <w:ind w:left="284" w:right="747" w:firstLine="0"/>
        <w:jc w:val="both"/>
        <w:rPr>
          <w:rFonts w:ascii="Arial" w:hAnsi="Arial" w:cs="Arial"/>
          <w:b/>
          <w:bCs/>
          <w:color w:val="FF0000"/>
          <w:w w:val="110"/>
          <w:lang w:val="pt-BR"/>
        </w:rPr>
      </w:pPr>
      <w:r>
        <w:rPr>
          <w:rFonts w:ascii="Arial" w:hAnsi="Arial" w:cs="Arial"/>
          <w:w w:val="110"/>
          <w:lang w:val="pt-BR"/>
        </w:rPr>
        <w:t xml:space="preserve">- O lance deverá ser ofertado pelo valor </w:t>
      </w:r>
      <w:r>
        <w:rPr>
          <w:rFonts w:ascii="Arial" w:hAnsi="Arial" w:cs="Arial"/>
          <w:b/>
          <w:bCs/>
          <w:w w:val="110"/>
          <w:lang w:val="pt-BR"/>
        </w:rPr>
        <w:t>UNITÁRIO por ITEM.</w:t>
      </w:r>
    </w:p>
    <w:p w14:paraId="2C73A366">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Os licitantes poderão oferecer lances sucessivos, observando o horário fixado para abertura da sessão e as regras estabelecidas no Edital.</w:t>
      </w:r>
    </w:p>
    <w:p w14:paraId="485EFE80">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O licitante somente poderá oferecer lance de valor inferior ao último por ele ofertado e registrado pelo sistema. </w:t>
      </w:r>
    </w:p>
    <w:p w14:paraId="2C18627B">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O intervalo mínimo de diferença de valores ou percentuais entre os lances, que incidirá tanto em relação aos lances intermediários quanto em relação à proposta que cobrir a melhor oferta deverá ser de 0,01 (um centavo).</w:t>
      </w:r>
    </w:p>
    <w:p w14:paraId="5A288D8E">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O licitante poderá, uma única vez, excluir seu último lance ofertado, no intervalo de quinze segundos após o registro no sistema, na hipótese de lance inconsistente ou inexequível.</w:t>
      </w:r>
    </w:p>
    <w:p w14:paraId="4FE1D579">
      <w:pPr>
        <w:numPr>
          <w:ilvl w:val="1"/>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Durante a fase de lances, o pregoeiro poderá excluir, justificadamente, lance cujo valor for considerado inexequível.</w:t>
      </w:r>
    </w:p>
    <w:p w14:paraId="56203BF2">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O procedimento seguirá de acordo com o modo de disputa adotado.</w:t>
      </w:r>
    </w:p>
    <w:p w14:paraId="26DD67A1">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Não serão aceitos dois ou mais lances de mesmo valor, prevalecendo aquele que for recebido e registrado em primeiro lugar. </w:t>
      </w:r>
    </w:p>
    <w:p w14:paraId="1448BDD1">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Durante o transcurso da sessão pública, os licitantes serão informados, em tempo real, do valor do menor lance registrado, vedada a identificação do licitante. </w:t>
      </w:r>
    </w:p>
    <w:p w14:paraId="2DD9A1EE">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No caso de desconexão com o Pregoeiro, no decorrer da etapa competitiva do Pregão, o sistema eletrônico poderá permanecer acessível aos licitantes para a recepção dos lances. </w:t>
      </w:r>
    </w:p>
    <w:p w14:paraId="2B7152F3">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25FF2979">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Caso o licitante não apresente lances, concorrerá com o valor de sua proposta.</w:t>
      </w:r>
    </w:p>
    <w:p w14:paraId="36A6A33A">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w:t>
      </w:r>
      <w:r>
        <w:rPr>
          <w:rFonts w:ascii="Arial" w:hAnsi="Arial" w:cs="Arial"/>
          <w:b/>
          <w:bCs/>
          <w:w w:val="110"/>
          <w:lang w:val="pt-BR"/>
        </w:rPr>
        <w:t>Dos benefícios das ME’s, EPP’s e EQUIPARADAS, na fase competitiva:</w:t>
      </w:r>
    </w:p>
    <w:p w14:paraId="3764745E">
      <w:pPr>
        <w:numPr>
          <w:ilvl w:val="2"/>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fldChar w:fldCharType="begin"/>
      </w:r>
      <w:r>
        <w:instrText xml:space="preserve"> HYPERLINK "https://www.planalto.gov.br/ccivil_03/leis/lcp/lcp123.htm" \l "art44" </w:instrText>
      </w:r>
      <w:r>
        <w:fldChar w:fldCharType="separate"/>
      </w:r>
      <w:r>
        <w:rPr>
          <w:rStyle w:val="9"/>
          <w:rFonts w:ascii="Arial" w:hAnsi="Arial" w:cs="Arial"/>
          <w:w w:val="110"/>
          <w:lang w:val="pt-BR"/>
        </w:rPr>
        <w:t>arts. 44 e 45 da Lei Complementar nº 123, de 2006</w:t>
      </w:r>
      <w:r>
        <w:rPr>
          <w:rStyle w:val="9"/>
          <w:rFonts w:ascii="Arial" w:hAnsi="Arial" w:cs="Arial"/>
          <w:w w:val="110"/>
          <w:lang w:val="pt-BR"/>
        </w:rPr>
        <w:fldChar w:fldCharType="end"/>
      </w:r>
      <w:r>
        <w:rPr>
          <w:rFonts w:ascii="Arial" w:hAnsi="Arial" w:cs="Arial"/>
          <w:w w:val="110"/>
          <w:lang w:val="pt-BR"/>
        </w:rPr>
        <w:t xml:space="preserve">, regulamentada pelo </w:t>
      </w:r>
      <w:r>
        <w:fldChar w:fldCharType="begin"/>
      </w:r>
      <w:r>
        <w:instrText xml:space="preserve"> HYPERLINK "https://www.planalto.gov.br/ccivil_03/_ato2015-2018/2015/decreto/d8539.htm" </w:instrText>
      </w:r>
      <w:r>
        <w:fldChar w:fldCharType="separate"/>
      </w:r>
      <w:r>
        <w:rPr>
          <w:rStyle w:val="9"/>
          <w:rFonts w:ascii="Arial" w:hAnsi="Arial" w:cs="Arial"/>
          <w:w w:val="110"/>
          <w:lang w:val="pt-BR"/>
        </w:rPr>
        <w:t>Decreto nº 8.538, de 2015</w:t>
      </w:r>
      <w:r>
        <w:rPr>
          <w:rStyle w:val="9"/>
          <w:rFonts w:ascii="Arial" w:hAnsi="Arial" w:cs="Arial"/>
          <w:w w:val="110"/>
          <w:lang w:val="pt-BR"/>
        </w:rPr>
        <w:fldChar w:fldCharType="end"/>
      </w:r>
      <w:r>
        <w:rPr>
          <w:rFonts w:ascii="Arial" w:hAnsi="Arial" w:cs="Arial"/>
          <w:w w:val="110"/>
          <w:lang w:val="pt-BR"/>
        </w:rPr>
        <w:t>.</w:t>
      </w:r>
    </w:p>
    <w:p w14:paraId="0214FE36">
      <w:pPr>
        <w:numPr>
          <w:ilvl w:val="2"/>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 Nessas condições, as propostas de microempresas e empresas de pequeno porte que se encontrarem na faixa de até 5% (cinco por cento) acima da melhor proposta ou melhor lance serão consideradas empatadas com a primeira colocada.</w:t>
      </w:r>
    </w:p>
    <w:p w14:paraId="006A861B">
      <w:pPr>
        <w:numPr>
          <w:ilvl w:val="2"/>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C61F949">
      <w:pPr>
        <w:numPr>
          <w:ilvl w:val="2"/>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64B8FC5F">
      <w:pPr>
        <w:numPr>
          <w:ilvl w:val="2"/>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A36CF6F">
      <w:pPr>
        <w:numPr>
          <w:ilvl w:val="2"/>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Só poderá haver empate entre propostas iguais (não seguidas de lances), ou entre lances finais da fase fechada do modo de disputa aberto e fechado. </w:t>
      </w:r>
    </w:p>
    <w:p w14:paraId="1119434C">
      <w:pPr>
        <w:numPr>
          <w:ilvl w:val="1"/>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Havendo</w:t>
      </w:r>
      <w:r>
        <w:rPr>
          <w:rFonts w:ascii="Arial" w:hAnsi="Arial" w:cs="Arial"/>
          <w:w w:val="110"/>
        </w:rPr>
        <w:t xml:space="preserve"> empate nominal entre as ofertas, o sistema aplicará, sucessivamente:</w:t>
      </w:r>
    </w:p>
    <w:p w14:paraId="272C3BBA">
      <w:pPr>
        <w:pStyle w:val="17"/>
        <w:numPr>
          <w:ilvl w:val="0"/>
          <w:numId w:val="5"/>
        </w:numPr>
        <w:tabs>
          <w:tab w:val="left" w:pos="993"/>
        </w:tabs>
        <w:spacing w:before="113" w:line="360" w:lineRule="auto"/>
        <w:ind w:right="747"/>
        <w:rPr>
          <w:rFonts w:ascii="Arial" w:hAnsi="Arial" w:cs="Arial"/>
          <w:w w:val="110"/>
        </w:rPr>
      </w:pPr>
      <w:r>
        <w:rPr>
          <w:rFonts w:ascii="Arial" w:hAnsi="Arial" w:cs="Arial"/>
          <w:w w:val="110"/>
        </w:rPr>
        <w:t>o disposto nos arts. 44 e 45 da Lei Complementar nº 123/2006 (Declaração ME/ EPP);</w:t>
      </w:r>
    </w:p>
    <w:p w14:paraId="3D4CBFBD">
      <w:pPr>
        <w:pStyle w:val="17"/>
        <w:numPr>
          <w:ilvl w:val="0"/>
          <w:numId w:val="5"/>
        </w:numPr>
        <w:tabs>
          <w:tab w:val="left" w:pos="993"/>
        </w:tabs>
        <w:spacing w:before="113" w:line="360" w:lineRule="auto"/>
        <w:ind w:right="747"/>
        <w:rPr>
          <w:rFonts w:ascii="Arial" w:hAnsi="Arial" w:cs="Arial"/>
          <w:w w:val="110"/>
        </w:rPr>
      </w:pPr>
      <w:r>
        <w:rPr>
          <w:rFonts w:ascii="Arial" w:hAnsi="Arial" w:cs="Arial"/>
          <w:w w:val="110"/>
        </w:rPr>
        <w:t>o critério de desempate previsto na Lei 14.133/2021, art. 60, inciso I (Disputa final entre os licitantes empatados);</w:t>
      </w:r>
    </w:p>
    <w:p w14:paraId="11CCBE0C">
      <w:pPr>
        <w:pStyle w:val="17"/>
        <w:numPr>
          <w:ilvl w:val="0"/>
          <w:numId w:val="5"/>
        </w:numPr>
        <w:tabs>
          <w:tab w:val="left" w:pos="993"/>
        </w:tabs>
        <w:spacing w:before="113" w:line="360" w:lineRule="auto"/>
        <w:ind w:right="747"/>
        <w:rPr>
          <w:rFonts w:ascii="Arial" w:hAnsi="Arial" w:cs="Arial"/>
          <w:w w:val="110"/>
        </w:rPr>
      </w:pPr>
      <w:r>
        <w:rPr>
          <w:rFonts w:ascii="Arial" w:hAnsi="Arial" w:cs="Arial"/>
          <w:w w:val="110"/>
        </w:rPr>
        <w:t xml:space="preserve">o critério de desempate previsto na </w:t>
      </w:r>
      <w:r>
        <w:rPr>
          <w:rFonts w:ascii="Arial" w:hAnsi="Arial" w:cs="Arial"/>
          <w:w w:val="110"/>
          <w:lang w:val="pt-BR"/>
        </w:rPr>
        <w:t xml:space="preserve">Lei 14.133/2021, art. 60, § 1º, inciso I </w:t>
      </w:r>
      <w:r>
        <w:rPr>
          <w:rFonts w:ascii="Arial" w:hAnsi="Arial" w:cs="Arial"/>
          <w:w w:val="110"/>
        </w:rPr>
        <w:t>(preferência para empresas estabelecidas no território do Estado do Rio de Janeiro);</w:t>
      </w:r>
    </w:p>
    <w:p w14:paraId="52F81A64">
      <w:pPr>
        <w:numPr>
          <w:ilvl w:val="1"/>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Persistindo</w:t>
      </w:r>
      <w:r>
        <w:rPr>
          <w:rFonts w:ascii="Arial" w:hAnsi="Arial" w:cs="Arial"/>
          <w:w w:val="110"/>
        </w:rPr>
        <w:t xml:space="preserve"> o </w:t>
      </w:r>
      <w:r>
        <w:rPr>
          <w:rFonts w:ascii="Arial" w:hAnsi="Arial" w:cs="Arial"/>
          <w:w w:val="110"/>
          <w:lang w:val="pt-BR"/>
        </w:rPr>
        <w:t>empate</w:t>
      </w:r>
      <w:r>
        <w:rPr>
          <w:rFonts w:ascii="Arial" w:hAnsi="Arial" w:cs="Arial"/>
          <w:w w:val="110"/>
        </w:rPr>
        <w:t xml:space="preserve"> após a aplicação dos critérios referidos nos subitens anteriores, o desempate ocorrerá por meio de sorteio público a ser realizado automaticamente pelo sistema.</w:t>
      </w:r>
    </w:p>
    <w:p w14:paraId="3E931647">
      <w:pPr>
        <w:numPr>
          <w:ilvl w:val="1"/>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Considerar</w:t>
      </w:r>
      <w:r>
        <w:rPr>
          <w:rFonts w:ascii="Arial" w:hAnsi="Arial" w:cs="Arial"/>
          <w:w w:val="110"/>
        </w:rPr>
        <w:t>-se-á circunstancialmente inviável a aplicação dos seguintes critérios de desempate:</w:t>
      </w:r>
    </w:p>
    <w:p w14:paraId="17C90880">
      <w:pPr>
        <w:pStyle w:val="17"/>
        <w:numPr>
          <w:ilvl w:val="0"/>
          <w:numId w:val="6"/>
        </w:numPr>
        <w:tabs>
          <w:tab w:val="left" w:pos="1134"/>
        </w:tabs>
        <w:spacing w:before="113" w:line="360" w:lineRule="auto"/>
        <w:ind w:right="747"/>
        <w:rPr>
          <w:rFonts w:ascii="Arial" w:hAnsi="Arial" w:cs="Arial"/>
          <w:w w:val="110"/>
          <w:lang w:val="pt-BR"/>
        </w:rPr>
      </w:pPr>
      <w:r>
        <w:rPr>
          <w:rFonts w:ascii="Arial" w:hAnsi="Arial" w:cs="Arial"/>
          <w:w w:val="110"/>
        </w:rPr>
        <w:t>previsto na Lei 14.133/2021, art. 60, inciso II, em razão da ausência de parametrização do Sistema de Compras do Governo Federal (Compras.gov.br) para tanto;</w:t>
      </w:r>
    </w:p>
    <w:p w14:paraId="198E295C">
      <w:pPr>
        <w:pStyle w:val="17"/>
        <w:numPr>
          <w:ilvl w:val="0"/>
          <w:numId w:val="6"/>
        </w:numPr>
        <w:tabs>
          <w:tab w:val="left" w:pos="1134"/>
        </w:tabs>
        <w:spacing w:before="113" w:line="360" w:lineRule="auto"/>
        <w:ind w:right="747"/>
        <w:rPr>
          <w:rFonts w:ascii="Arial" w:hAnsi="Arial" w:cs="Arial"/>
          <w:w w:val="110"/>
          <w:lang w:val="pt-BR"/>
        </w:rPr>
      </w:pPr>
      <w:r>
        <w:rPr>
          <w:rFonts w:ascii="Arial" w:hAnsi="Arial" w:cs="Arial"/>
          <w:w w:val="110"/>
        </w:rPr>
        <w:t>previsto na Lei 14.133/2021, art. 60 inciso III, em razão da ausência regulamentação municipal ou de ato do Secretário de Gestão e Inovação do Ministério da Gestão e da Inovação em Serviços Públicos para dispor sobre a forma de aferição destes critérios;</w:t>
      </w:r>
    </w:p>
    <w:p w14:paraId="64EFE936">
      <w:pPr>
        <w:pStyle w:val="17"/>
        <w:numPr>
          <w:ilvl w:val="0"/>
          <w:numId w:val="6"/>
        </w:numPr>
        <w:tabs>
          <w:tab w:val="left" w:pos="1134"/>
        </w:tabs>
        <w:spacing w:before="113" w:line="360" w:lineRule="auto"/>
        <w:ind w:right="747"/>
        <w:rPr>
          <w:rFonts w:ascii="Arial" w:hAnsi="Arial" w:cs="Arial"/>
          <w:w w:val="110"/>
          <w:lang w:val="pt-BR"/>
        </w:rPr>
      </w:pPr>
      <w:r>
        <w:rPr>
          <w:rFonts w:ascii="Arial" w:hAnsi="Arial" w:cs="Arial"/>
          <w:w w:val="110"/>
        </w:rPr>
        <w:t>previsto na Lei 14.133/2021, art. 60, inciso IV, em razão da ausência de orientações dos órgãos de controle.</w:t>
      </w:r>
    </w:p>
    <w:p w14:paraId="67BAA09A">
      <w:pPr>
        <w:pStyle w:val="17"/>
        <w:numPr>
          <w:ilvl w:val="0"/>
          <w:numId w:val="6"/>
        </w:numPr>
        <w:tabs>
          <w:tab w:val="left" w:pos="1134"/>
        </w:tabs>
        <w:spacing w:before="113" w:line="360" w:lineRule="auto"/>
        <w:ind w:right="747"/>
        <w:rPr>
          <w:rFonts w:ascii="Arial" w:hAnsi="Arial" w:cs="Arial"/>
          <w:w w:val="110"/>
          <w:lang w:val="pt-BR"/>
        </w:rPr>
      </w:pPr>
      <w:r>
        <w:rPr>
          <w:rFonts w:ascii="Arial" w:hAnsi="Arial" w:cs="Arial"/>
          <w:w w:val="110"/>
        </w:rPr>
        <w:t>Previstos na Lei 14.133/2021, art. 60, §1º, incisos II, III e IV, em razão da ausência de parametrização do Sistema de Compras do Governo Federal (Compras.gov.br).</w:t>
      </w:r>
    </w:p>
    <w:p w14:paraId="308A6178">
      <w:pPr>
        <w:numPr>
          <w:ilvl w:val="1"/>
          <w:numId w:val="4"/>
        </w:numPr>
        <w:tabs>
          <w:tab w:val="left" w:pos="993"/>
        </w:tabs>
        <w:spacing w:before="113" w:line="360" w:lineRule="auto"/>
        <w:ind w:left="284" w:right="747" w:firstLine="0"/>
        <w:jc w:val="both"/>
        <w:rPr>
          <w:rFonts w:ascii="Arial" w:hAnsi="Arial" w:cs="Arial"/>
          <w:w w:val="110"/>
          <w:lang w:val="pt-BR"/>
        </w:rPr>
      </w:pPr>
      <w:bookmarkStart w:id="49" w:name="_Hlk179537046"/>
      <w:r>
        <w:rPr>
          <w:rFonts w:ascii="Arial" w:hAnsi="Arial" w:cs="Arial"/>
          <w:w w:val="110"/>
          <w:lang w:val="pt-BR"/>
        </w:rPr>
        <w:t>- Empatadas</w:t>
      </w:r>
      <w:r>
        <w:rPr>
          <w:rFonts w:ascii="Arial" w:hAnsi="Arial" w:cs="Arial"/>
          <w:w w:val="110"/>
        </w:rPr>
        <w:t xml:space="preserve"> as propostas iniciais e não havendo o envio de lances após o início da fase competitiva, aplicam-se o disposto nos subitens anteriores.</w:t>
      </w:r>
    </w:p>
    <w:p w14:paraId="3195A5F4">
      <w:pPr>
        <w:numPr>
          <w:ilvl w:val="1"/>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Na hipótese da não contratação nos termos previstos nas condições anteriores, o objeto licitado será adjudicado em favor da proposta originalmente mais bem classificada se, após negociação, houver compatibilidade de preço com o valor estimado para a contratação, a licitante for considerada habilitada e tiver sua amostra aceita, se for o caso. </w:t>
      </w:r>
    </w:p>
    <w:p w14:paraId="550C46E0">
      <w:pPr>
        <w:numPr>
          <w:ilvl w:val="1"/>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Na hipótese de não haver vencedor para a cota reservada, esta poderá ser adjudicada ao vencedor da cota principal ou, diante de sua recusa, aos licitantes remanescentes, desde que pratiquem o preço do primeiro colocado da cota principal.</w:t>
      </w:r>
    </w:p>
    <w:p w14:paraId="5307D2EB">
      <w:pPr>
        <w:numPr>
          <w:ilvl w:val="1"/>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Se a mesma empresa vencer a cota reservada e a cota principal, a contratação das cotas deverá ocorrer pelo menor preço.</w:t>
      </w:r>
    </w:p>
    <w:bookmarkEnd w:id="49"/>
    <w:p w14:paraId="43DBBE74">
      <w:pPr>
        <w:numPr>
          <w:ilvl w:val="0"/>
          <w:numId w:val="4"/>
        </w:numPr>
        <w:tabs>
          <w:tab w:val="left" w:pos="709"/>
        </w:tabs>
        <w:spacing w:before="199" w:line="360" w:lineRule="auto"/>
        <w:ind w:left="284" w:right="747" w:firstLine="0"/>
        <w:jc w:val="both"/>
        <w:outlineLvl w:val="0"/>
        <w:rPr>
          <w:rFonts w:ascii="Arial" w:hAnsi="Arial" w:eastAsia="Gill Sans MT" w:cs="Arial"/>
          <w:b/>
          <w:bCs/>
          <w:spacing w:val="-3"/>
          <w:lang w:val="pt-BR"/>
        </w:rPr>
      </w:pPr>
      <w:bookmarkStart w:id="50" w:name="_Toc151457791"/>
      <w:r>
        <w:rPr>
          <w:rFonts w:ascii="Arial" w:hAnsi="Arial" w:eastAsia="Gill Sans MT" w:cs="Arial"/>
          <w:b/>
          <w:bCs/>
          <w:spacing w:val="-3"/>
          <w:lang w:val="pt-BR"/>
        </w:rPr>
        <w:t>NEGOCIAÇÃO</w:t>
      </w:r>
      <w:bookmarkEnd w:id="50"/>
    </w:p>
    <w:p w14:paraId="448FDCCE">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Após o encerramento da etapa de lances, o pregoeiro poderá encaminhar contraproposta diretamente à licitante que tenha apresentado o lance mais vantajoso, por item, para que seja obtida a melhor proposta, observado o critério de julgamento e o valor estimado para a contratação, não se admitindo negociar condições diferentes das previstas neste edital.</w:t>
      </w:r>
    </w:p>
    <w:p w14:paraId="7153BE39">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Na hipótese da proposta do primeiro colocado permanecer acima do preço máximo ou inferior ao desconto definido para a contratação, o pregoeiro poderá negociar condições mais vantajosas, após definido o resultado do julgamento.</w:t>
      </w:r>
    </w:p>
    <w:p w14:paraId="0600F193">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A5868E7">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A negociação será realizada por meio do sistema, podendo ser acompanhada pelos demais licitantes.</w:t>
      </w:r>
    </w:p>
    <w:p w14:paraId="1CACE71F">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O resultado da negociação será divulgado a todos os licitantes e anexado aos autos do processo licitatório.</w:t>
      </w:r>
    </w:p>
    <w:p w14:paraId="2ED41498">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51" w:name="_Hlk117016948"/>
      <w:bookmarkEnd w:id="51"/>
    </w:p>
    <w:p w14:paraId="542C4E2B">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É facultado a critério do pregoeiro prorrogar o prazo estabelecido, ou mediante a solicitação fundamentada feita no chat pelo licitante, antes de findo o prazo.</w:t>
      </w:r>
    </w:p>
    <w:p w14:paraId="1A739420">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Após a negociação do preço, o Pregoeiro iniciará a fase de aceitação e julgamento da proposta.</w:t>
      </w:r>
    </w:p>
    <w:p w14:paraId="0392F21A">
      <w:pPr>
        <w:numPr>
          <w:ilvl w:val="0"/>
          <w:numId w:val="4"/>
        </w:numPr>
        <w:tabs>
          <w:tab w:val="left" w:pos="709"/>
        </w:tabs>
        <w:spacing w:before="199" w:line="360" w:lineRule="auto"/>
        <w:ind w:left="284" w:right="747" w:firstLine="0"/>
        <w:jc w:val="both"/>
        <w:outlineLvl w:val="0"/>
        <w:rPr>
          <w:rFonts w:ascii="Arial" w:hAnsi="Arial" w:eastAsia="Gill Sans MT" w:cs="Arial"/>
          <w:b/>
          <w:bCs/>
          <w:spacing w:val="-3"/>
          <w:lang w:val="pt-BR"/>
        </w:rPr>
      </w:pPr>
      <w:bookmarkStart w:id="52" w:name="_Toc151457792"/>
      <w:r>
        <w:rPr>
          <w:rFonts w:ascii="Arial" w:hAnsi="Arial" w:eastAsia="Gill Sans MT" w:cs="Arial"/>
          <w:b/>
          <w:bCs/>
          <w:spacing w:val="-3"/>
          <w:lang w:val="pt-BR"/>
        </w:rPr>
        <w:t>DA FASE DE JULGAMENTO</w:t>
      </w:r>
      <w:bookmarkEnd w:id="52"/>
    </w:p>
    <w:p w14:paraId="0E7B0ED0">
      <w:pPr>
        <w:numPr>
          <w:ilvl w:val="1"/>
          <w:numId w:val="4"/>
        </w:numPr>
        <w:tabs>
          <w:tab w:val="left" w:pos="851"/>
        </w:tabs>
        <w:spacing w:before="113" w:line="360" w:lineRule="auto"/>
        <w:ind w:left="284" w:right="747" w:firstLine="0"/>
        <w:jc w:val="both"/>
        <w:rPr>
          <w:rFonts w:ascii="Arial" w:hAnsi="Arial" w:cs="Arial"/>
          <w:b/>
          <w:bCs/>
          <w:w w:val="110"/>
          <w:lang w:val="pt-BR"/>
        </w:rPr>
      </w:pPr>
      <w:r>
        <w:rPr>
          <w:rFonts w:ascii="Arial" w:hAnsi="Arial" w:cs="Arial"/>
          <w:w w:val="110"/>
          <w:lang w:val="pt-BR"/>
        </w:rPr>
        <w:t xml:space="preserve">– </w:t>
      </w:r>
      <w:bookmarkStart w:id="53" w:name="_Ref117019424"/>
      <w:r>
        <w:rPr>
          <w:rFonts w:ascii="Arial" w:hAnsi="Arial" w:cs="Arial"/>
          <w:w w:val="110"/>
          <w:lang w:val="pt-BR"/>
        </w:rPr>
        <w:t xml:space="preserve">Encerrada a etapa de negociação, o pregoeiro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9"/>
          <w:rFonts w:ascii="Arial" w:hAnsi="Arial" w:cs="Arial"/>
          <w:w w:val="110"/>
          <w:lang w:val="pt-BR"/>
        </w:rPr>
        <w:t>art. 14 da Lei nº 14.133/2021</w:t>
      </w:r>
      <w:r>
        <w:rPr>
          <w:rStyle w:val="9"/>
          <w:rFonts w:ascii="Arial" w:hAnsi="Arial" w:cs="Arial"/>
          <w:w w:val="110"/>
          <w:lang w:val="pt-BR"/>
        </w:rPr>
        <w:fldChar w:fldCharType="end"/>
      </w:r>
      <w:r>
        <w:rPr>
          <w:rFonts w:ascii="Arial" w:hAnsi="Arial" w:cs="Arial"/>
          <w:w w:val="110"/>
          <w:lang w:val="pt-BR"/>
        </w:rPr>
        <w:t>, legislação correlata e no item 5</w:t>
      </w:r>
      <w:r>
        <w:rPr>
          <w:rFonts w:ascii="Arial" w:hAnsi="Arial" w:cs="Arial"/>
          <w:b/>
          <w:bCs/>
          <w:w w:val="110"/>
          <w:lang w:val="pt-BR"/>
        </w:rPr>
        <w:t xml:space="preserve"> </w:t>
      </w:r>
      <w:r>
        <w:rPr>
          <w:rFonts w:ascii="Arial" w:hAnsi="Arial" w:cs="Arial"/>
          <w:w w:val="110"/>
          <w:lang w:val="pt-BR"/>
        </w:rPr>
        <w:t xml:space="preserve">do edital, </w:t>
      </w:r>
      <w:bookmarkEnd w:id="53"/>
      <w:r>
        <w:rPr>
          <w:rFonts w:ascii="Arial" w:hAnsi="Arial" w:cs="Arial"/>
          <w:w w:val="110"/>
          <w:lang w:val="pt-BR"/>
        </w:rPr>
        <w:t>especialmente quanto à existência de sanção que impeça a participação no certame ou a futura contratação, mediante a consulta aos seguintes cadastros:</w:t>
      </w:r>
    </w:p>
    <w:p w14:paraId="3CA5F522">
      <w:pPr>
        <w:numPr>
          <w:ilvl w:val="0"/>
          <w:numId w:val="7"/>
        </w:numPr>
        <w:tabs>
          <w:tab w:val="left" w:pos="851"/>
        </w:tabs>
        <w:spacing w:before="113" w:line="360" w:lineRule="auto"/>
        <w:ind w:right="747"/>
        <w:jc w:val="both"/>
        <w:rPr>
          <w:rFonts w:ascii="Arial" w:hAnsi="Arial" w:cs="Arial"/>
          <w:w w:val="110"/>
          <w:lang w:val="pt-BR"/>
        </w:rPr>
      </w:pPr>
      <w:r>
        <w:rPr>
          <w:rFonts w:ascii="Arial" w:hAnsi="Arial" w:cs="Arial"/>
          <w:w w:val="110"/>
          <w:lang w:val="pt-BR"/>
        </w:rPr>
        <w:t>SICAF;</w:t>
      </w:r>
    </w:p>
    <w:p w14:paraId="196B8642">
      <w:pPr>
        <w:numPr>
          <w:ilvl w:val="0"/>
          <w:numId w:val="7"/>
        </w:numPr>
        <w:tabs>
          <w:tab w:val="left" w:pos="851"/>
        </w:tabs>
        <w:spacing w:before="113" w:line="360" w:lineRule="auto"/>
        <w:ind w:right="747"/>
        <w:jc w:val="both"/>
        <w:rPr>
          <w:rFonts w:ascii="Arial" w:hAnsi="Arial" w:cs="Arial"/>
          <w:w w:val="110"/>
          <w:lang w:val="pt-BR"/>
        </w:rPr>
      </w:pPr>
      <w:r>
        <w:rPr>
          <w:rFonts w:ascii="Arial" w:hAnsi="Arial" w:cs="Arial"/>
          <w:w w:val="110"/>
          <w:lang w:val="pt-BR"/>
        </w:rPr>
        <w:t>Cadastro Nacional de Empresas Inidôneas e Suspensas - CEIS, mantido pela Controladoria-Geral da União (</w:t>
      </w:r>
      <w:r>
        <w:fldChar w:fldCharType="begin"/>
      </w:r>
      <w:r>
        <w:instrText xml:space="preserve"> HYPERLINK "https://www.portaltransparencia.gov.br/sancoes/ceis" </w:instrText>
      </w:r>
      <w:r>
        <w:fldChar w:fldCharType="separate"/>
      </w:r>
      <w:r>
        <w:rPr>
          <w:rStyle w:val="9"/>
          <w:rFonts w:ascii="Arial" w:hAnsi="Arial" w:cs="Arial"/>
          <w:w w:val="110"/>
          <w:lang w:val="pt-BR"/>
        </w:rPr>
        <w:t>https://www.portaltransparencia.gov.br/sancoes/ceis</w:t>
      </w:r>
      <w:r>
        <w:rPr>
          <w:rStyle w:val="9"/>
          <w:rFonts w:ascii="Arial" w:hAnsi="Arial" w:cs="Arial"/>
          <w:w w:val="110"/>
          <w:lang w:val="pt-BR"/>
        </w:rPr>
        <w:fldChar w:fldCharType="end"/>
      </w:r>
      <w:r>
        <w:rPr>
          <w:rFonts w:ascii="Arial" w:hAnsi="Arial" w:cs="Arial"/>
          <w:w w:val="110"/>
          <w:lang w:val="pt-BR"/>
        </w:rPr>
        <w:t xml:space="preserve">); e </w:t>
      </w:r>
    </w:p>
    <w:p w14:paraId="4D0A6359">
      <w:pPr>
        <w:numPr>
          <w:ilvl w:val="0"/>
          <w:numId w:val="7"/>
        </w:numPr>
        <w:tabs>
          <w:tab w:val="left" w:pos="851"/>
        </w:tabs>
        <w:spacing w:before="113" w:line="360" w:lineRule="auto"/>
        <w:ind w:right="747"/>
        <w:jc w:val="both"/>
        <w:rPr>
          <w:rFonts w:ascii="Arial" w:hAnsi="Arial" w:cs="Arial"/>
          <w:w w:val="110"/>
          <w:lang w:val="pt-BR"/>
        </w:rPr>
      </w:pPr>
      <w:r>
        <w:rPr>
          <w:rFonts w:ascii="Arial" w:hAnsi="Arial" w:cs="Arial"/>
          <w:w w:val="110"/>
          <w:lang w:val="pt-BR"/>
        </w:rPr>
        <w:t>Cadastro Nacional de Empresas Punidas – CNEP, mantido pela Controladoria-Geral da União (</w:t>
      </w:r>
      <w:r>
        <w:fldChar w:fldCharType="begin"/>
      </w:r>
      <w:r>
        <w:instrText xml:space="preserve"> HYPERLINK "https://www.portaltransparencia.gov.br/sancoes/cnep" </w:instrText>
      </w:r>
      <w:r>
        <w:fldChar w:fldCharType="separate"/>
      </w:r>
      <w:r>
        <w:rPr>
          <w:rStyle w:val="9"/>
          <w:rFonts w:ascii="Arial" w:hAnsi="Arial" w:cs="Arial"/>
          <w:w w:val="110"/>
          <w:lang w:val="pt-BR"/>
        </w:rPr>
        <w:t>https://www.portaltransparencia.gov.br/sancoes/cnep</w:t>
      </w:r>
      <w:r>
        <w:rPr>
          <w:rStyle w:val="9"/>
          <w:rFonts w:ascii="Arial" w:hAnsi="Arial" w:cs="Arial"/>
          <w:w w:val="110"/>
          <w:lang w:val="pt-BR"/>
        </w:rPr>
        <w:fldChar w:fldCharType="end"/>
      </w:r>
      <w:r>
        <w:rPr>
          <w:rFonts w:ascii="Arial" w:hAnsi="Arial" w:cs="Arial"/>
          <w:w w:val="110"/>
          <w:lang w:val="pt-BR"/>
        </w:rPr>
        <w:t>).</w:t>
      </w:r>
    </w:p>
    <w:p w14:paraId="0D6BB9AE">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Para a consulta de licitantes pessoa jurídica poderá haver a substituição das consultas das alíneas “b”,  e “c” acima pela Consulta Consolidada de Pessoa Jurídica do TCU (</w:t>
      </w:r>
      <w:r>
        <w:fldChar w:fldCharType="begin"/>
      </w:r>
      <w:r>
        <w:instrText xml:space="preserve"> HYPERLINK "https://certidoes-apf.apps.tcu.gov.br/" </w:instrText>
      </w:r>
      <w:r>
        <w:fldChar w:fldCharType="separate"/>
      </w:r>
      <w:r>
        <w:rPr>
          <w:rStyle w:val="9"/>
          <w:rFonts w:ascii="Arial" w:hAnsi="Arial" w:cs="Arial"/>
          <w:w w:val="110"/>
          <w:lang w:val="pt-BR"/>
        </w:rPr>
        <w:t>https://certidoes-apf.apps.tcu.gov.br/</w:t>
      </w:r>
      <w:r>
        <w:rPr>
          <w:rStyle w:val="9"/>
          <w:rFonts w:ascii="Arial" w:hAnsi="Arial" w:cs="Arial"/>
          <w:w w:val="110"/>
          <w:lang w:val="pt-BR"/>
        </w:rPr>
        <w:fldChar w:fldCharType="end"/>
      </w:r>
      <w:r>
        <w:rPr>
          <w:rFonts w:ascii="Arial" w:hAnsi="Arial" w:cs="Arial"/>
          <w:w w:val="110"/>
          <w:lang w:val="pt-BR"/>
        </w:rPr>
        <w:t xml:space="preserve">). </w:t>
      </w:r>
    </w:p>
    <w:p w14:paraId="33B61B47">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A consulta aos cadastros será realizada em nome da empresa licitante e também de seu sócio majoritário, por força da vedação de que trata o </w:t>
      </w:r>
      <w:r>
        <w:fldChar w:fldCharType="begin"/>
      </w:r>
      <w:r>
        <w:instrText xml:space="preserve"> HYPERLINK "https://www.planalto.gov.br/ccivil_03/leis/l8429.htm" \l ":~:text=%C3%A0s%20seguintes%20comina%C3%A7%C3%B5es%3A-,Art.,n%C2%BA%2012.120%2C%20de%202009)." </w:instrText>
      </w:r>
      <w:r>
        <w:fldChar w:fldCharType="separate"/>
      </w:r>
      <w:r>
        <w:rPr>
          <w:rStyle w:val="9"/>
          <w:rFonts w:ascii="Arial" w:hAnsi="Arial" w:cs="Arial"/>
          <w:w w:val="110"/>
          <w:lang w:val="pt-BR"/>
        </w:rPr>
        <w:t>artigo 12 da Lei n° 8.429, de 1992</w:t>
      </w:r>
      <w:r>
        <w:rPr>
          <w:rStyle w:val="9"/>
          <w:rFonts w:ascii="Arial" w:hAnsi="Arial" w:cs="Arial"/>
          <w:w w:val="110"/>
          <w:lang w:val="pt-BR"/>
        </w:rPr>
        <w:fldChar w:fldCharType="end"/>
      </w:r>
      <w:r>
        <w:rPr>
          <w:rFonts w:ascii="Arial" w:hAnsi="Arial" w:cs="Arial"/>
          <w:w w:val="110"/>
          <w:lang w:val="pt-BR"/>
        </w:rPr>
        <w:t>.</w:t>
      </w:r>
    </w:p>
    <w:p w14:paraId="141D62C4">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Caso conste na Consulta de Situação do licitante a existência de Ocorrências Impeditivas Indiretas, o Pregoeiro diligenciará para verificar se houve fraude por parte das empresas apontadas no Relatório de Ocorrências Impeditivas Indiretas. (</w:t>
      </w:r>
      <w:r>
        <w:fldChar w:fldCharType="begin"/>
      </w:r>
      <w:r>
        <w:instrText xml:space="preserve"> HYPERLINK "https://www.gov.br/compras/pt-br/acesso-a-informacao/legislacao/instrucoes-normativas/instrucao-normativa-no-3-de-26-de-abril-de-2018" \l "art29" </w:instrText>
      </w:r>
      <w:r>
        <w:fldChar w:fldCharType="separate"/>
      </w:r>
      <w:r>
        <w:rPr>
          <w:rStyle w:val="9"/>
          <w:rFonts w:ascii="Arial" w:hAnsi="Arial" w:cs="Arial"/>
          <w:w w:val="110"/>
          <w:lang w:val="pt-BR"/>
        </w:rPr>
        <w:t>IN nº 3/2018, art. 29, caput</w:t>
      </w:r>
      <w:r>
        <w:rPr>
          <w:rStyle w:val="9"/>
          <w:rFonts w:ascii="Arial" w:hAnsi="Arial" w:cs="Arial"/>
          <w:w w:val="110"/>
          <w:lang w:val="pt-BR"/>
        </w:rPr>
        <w:fldChar w:fldCharType="end"/>
      </w:r>
      <w:r>
        <w:rPr>
          <w:rFonts w:ascii="Arial" w:hAnsi="Arial" w:cs="Arial"/>
          <w:w w:val="110"/>
          <w:lang w:val="pt-BR"/>
        </w:rPr>
        <w:t>)</w:t>
      </w:r>
    </w:p>
    <w:p w14:paraId="74AF6991">
      <w:pPr>
        <w:numPr>
          <w:ilvl w:val="3"/>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A tentativa de burla será verificada por meio dos vínculos societários, linhas de fornecimento similares, dentre outros. (</w:t>
      </w:r>
      <w:r>
        <w:fldChar w:fldCharType="begin"/>
      </w:r>
      <w:r>
        <w:instrText xml:space="preserve"> HYPERLINK "https://www.gov.br/compras/pt-br/acesso-a-informacao/legislacao/instrucoes-normativas/instrucao-normativa-no-3-de-26-de-abril-de-2018" </w:instrText>
      </w:r>
      <w:r>
        <w:fldChar w:fldCharType="separate"/>
      </w:r>
      <w:r>
        <w:rPr>
          <w:rStyle w:val="9"/>
          <w:rFonts w:ascii="Arial" w:hAnsi="Arial" w:cs="Arial"/>
          <w:w w:val="110"/>
          <w:lang w:val="pt-BR"/>
        </w:rPr>
        <w:t>IN nº 3/2018, art. 29, §1º</w:t>
      </w:r>
      <w:r>
        <w:rPr>
          <w:rStyle w:val="9"/>
          <w:rFonts w:ascii="Arial" w:hAnsi="Arial" w:cs="Arial"/>
          <w:w w:val="110"/>
          <w:lang w:val="pt-BR"/>
        </w:rPr>
        <w:fldChar w:fldCharType="end"/>
      </w:r>
      <w:r>
        <w:rPr>
          <w:rFonts w:ascii="Arial" w:hAnsi="Arial" w:cs="Arial"/>
          <w:w w:val="110"/>
          <w:lang w:val="pt-BR"/>
        </w:rPr>
        <w:t>).</w:t>
      </w:r>
    </w:p>
    <w:p w14:paraId="3C1397B5">
      <w:pPr>
        <w:numPr>
          <w:ilvl w:val="3"/>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O licitante será convocado para manifestação previamente a uma eventual desclassificação. (</w:t>
      </w:r>
      <w:r>
        <w:fldChar w:fldCharType="begin"/>
      </w:r>
      <w:r>
        <w:instrText xml:space="preserve"> HYPERLINK "https://www.gov.br/compras/pt-br/acesso-a-informacao/legislacao/instrucoes-normativas/instrucao-normativa-no-3-de-26-de-abril-de-2018" </w:instrText>
      </w:r>
      <w:r>
        <w:fldChar w:fldCharType="separate"/>
      </w:r>
      <w:r>
        <w:rPr>
          <w:rStyle w:val="9"/>
          <w:rFonts w:ascii="Arial" w:hAnsi="Arial" w:cs="Arial"/>
          <w:w w:val="110"/>
          <w:lang w:val="pt-BR"/>
        </w:rPr>
        <w:t>IN nº 3/2018, art. 29, §2º</w:t>
      </w:r>
      <w:r>
        <w:rPr>
          <w:rStyle w:val="9"/>
          <w:rFonts w:ascii="Arial" w:hAnsi="Arial" w:cs="Arial"/>
          <w:w w:val="110"/>
          <w:lang w:val="pt-BR"/>
        </w:rPr>
        <w:fldChar w:fldCharType="end"/>
      </w:r>
      <w:r>
        <w:rPr>
          <w:rFonts w:ascii="Arial" w:hAnsi="Arial" w:cs="Arial"/>
          <w:w w:val="110"/>
          <w:lang w:val="pt-BR"/>
        </w:rPr>
        <w:t>).</w:t>
      </w:r>
    </w:p>
    <w:p w14:paraId="1492B4BC">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Constatada a existência de sanção, o licitante será reputado inabilitado, por falta de condição de participação.</w:t>
      </w:r>
    </w:p>
    <w:p w14:paraId="63B15910">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Caso atendidas as condições de participação, será iniciado o procedimento de habilitação.</w:t>
      </w:r>
    </w:p>
    <w:p w14:paraId="633A5693">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Caso o licitante provisoriamente classificado em primeiro lugar tenha se utilizado de algum tratamento favorecido às ME/EPPs, o pregoeiro verificará se faz jus ao benefício, em conformidade com os itens 5.1.9 e 5.1.9.1 deste edital.</w:t>
      </w:r>
    </w:p>
    <w:p w14:paraId="72F618DF">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No caso de inabilitação, haverá nova verificação, pelo sistema, da eventual ocorrência do empate ficto, previsto nos arts. 44 e 45 da Lei Complementar nº 123, de 2006, seguindo-se a disciplina antes estabelecida para aceitação da proposta subsequente.</w:t>
      </w:r>
    </w:p>
    <w:p w14:paraId="7034028A">
      <w:pPr>
        <w:numPr>
          <w:ilvl w:val="1"/>
          <w:numId w:val="4"/>
        </w:numPr>
        <w:tabs>
          <w:tab w:val="left" w:pos="851"/>
        </w:tabs>
        <w:spacing w:before="113" w:line="360" w:lineRule="auto"/>
        <w:ind w:left="284" w:right="747" w:firstLine="0"/>
        <w:jc w:val="both"/>
        <w:rPr>
          <w:rFonts w:ascii="Arial" w:hAnsi="Arial" w:cs="Arial"/>
          <w:b/>
          <w:w w:val="110"/>
          <w:lang w:val="pt-BR"/>
        </w:rPr>
      </w:pPr>
      <w:bookmarkStart w:id="54" w:name="_Hlk131681973"/>
      <w:r>
        <w:rPr>
          <w:rFonts w:ascii="Arial" w:hAnsi="Arial" w:cs="Arial"/>
          <w:w w:val="110"/>
          <w:lang w:val="pt-BR"/>
        </w:rPr>
        <w:t xml:space="preserve">-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instrText xml:space="preserve"> HYPERLINK "https://www.gov.br/compras/pt-br/acesso-a-informacao/legislacao/instrucoes-normativas/instrucao-normativa-seges-me-no-73-de-30-de-setembro-de-2022" \l "art29" </w:instrText>
      </w:r>
      <w:r>
        <w:fldChar w:fldCharType="separate"/>
      </w:r>
      <w:r>
        <w:rPr>
          <w:rStyle w:val="9"/>
          <w:rFonts w:ascii="Arial" w:hAnsi="Arial" w:cs="Arial"/>
          <w:w w:val="110"/>
          <w:lang w:val="pt-BR"/>
        </w:rPr>
        <w:t>artigo 29 a 35 da IN SEGES nº 73, de 30 de setembro de 2022</w:t>
      </w:r>
      <w:r>
        <w:rPr>
          <w:rStyle w:val="9"/>
          <w:rFonts w:ascii="Arial" w:hAnsi="Arial" w:cs="Arial"/>
          <w:w w:val="110"/>
          <w:lang w:val="pt-BR"/>
        </w:rPr>
        <w:fldChar w:fldCharType="end"/>
      </w:r>
      <w:r>
        <w:rPr>
          <w:rFonts w:ascii="Arial" w:hAnsi="Arial" w:cs="Arial"/>
          <w:w w:val="110"/>
          <w:lang w:val="pt-BR"/>
        </w:rPr>
        <w:t>.</w:t>
      </w:r>
    </w:p>
    <w:p w14:paraId="60BF2B2B">
      <w:pPr>
        <w:numPr>
          <w:ilvl w:val="1"/>
          <w:numId w:val="4"/>
        </w:numPr>
        <w:tabs>
          <w:tab w:val="left" w:pos="851"/>
        </w:tabs>
        <w:spacing w:before="113" w:line="360" w:lineRule="auto"/>
        <w:ind w:left="284" w:right="747" w:firstLine="0"/>
        <w:jc w:val="both"/>
        <w:rPr>
          <w:rFonts w:ascii="Arial" w:hAnsi="Arial" w:cs="Arial"/>
          <w:b/>
          <w:w w:val="110"/>
          <w:lang w:val="pt-BR"/>
        </w:rPr>
      </w:pPr>
      <w:r>
        <w:rPr>
          <w:rFonts w:ascii="Arial" w:hAnsi="Arial" w:cs="Arial"/>
          <w:w w:val="110"/>
          <w:lang w:val="pt-BR"/>
        </w:rPr>
        <w:t xml:space="preserve">- Será desclassificada a proposta vencedora que: </w:t>
      </w:r>
    </w:p>
    <w:p w14:paraId="1B6C8FEC">
      <w:pPr>
        <w:numPr>
          <w:ilvl w:val="2"/>
          <w:numId w:val="4"/>
        </w:numPr>
        <w:tabs>
          <w:tab w:val="left" w:pos="1134"/>
        </w:tabs>
        <w:spacing w:before="113" w:line="360" w:lineRule="auto"/>
        <w:ind w:left="284" w:right="747" w:firstLine="0"/>
        <w:jc w:val="both"/>
        <w:rPr>
          <w:rFonts w:ascii="Arial" w:hAnsi="Arial" w:cs="Arial"/>
          <w:b/>
          <w:w w:val="110"/>
          <w:lang w:val="pt-BR"/>
        </w:rPr>
      </w:pPr>
      <w:r>
        <w:rPr>
          <w:rFonts w:ascii="Arial" w:hAnsi="Arial" w:cs="Arial"/>
          <w:w w:val="110"/>
          <w:lang w:val="pt-BR"/>
        </w:rPr>
        <w:t>- Contiver vícios insanáveis;</w:t>
      </w:r>
    </w:p>
    <w:p w14:paraId="106C758B">
      <w:pPr>
        <w:numPr>
          <w:ilvl w:val="2"/>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 Não obedecer às especificações técnicas contidas no Termo de Referência;</w:t>
      </w:r>
    </w:p>
    <w:p w14:paraId="1EE21C31">
      <w:pPr>
        <w:numPr>
          <w:ilvl w:val="2"/>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 Apresentar preços inexequíveis ou permanecerem acima do preço máximo definido para a contratação;</w:t>
      </w:r>
    </w:p>
    <w:p w14:paraId="01CAA362">
      <w:pPr>
        <w:numPr>
          <w:ilvl w:val="2"/>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Não tiverem sua exequibilidade demonstrada, quando exigido pela Administração;</w:t>
      </w:r>
    </w:p>
    <w:p w14:paraId="445870B0">
      <w:pPr>
        <w:numPr>
          <w:ilvl w:val="2"/>
          <w:numId w:val="4"/>
        </w:numPr>
        <w:tabs>
          <w:tab w:val="left" w:pos="1134"/>
        </w:tabs>
        <w:spacing w:before="113" w:line="360" w:lineRule="auto"/>
        <w:ind w:left="284" w:right="747" w:firstLine="0"/>
        <w:jc w:val="both"/>
        <w:rPr>
          <w:rFonts w:ascii="Arial" w:hAnsi="Arial" w:cs="Arial"/>
          <w:b/>
          <w:w w:val="110"/>
          <w:lang w:val="pt-BR"/>
        </w:rPr>
      </w:pPr>
      <w:r>
        <w:rPr>
          <w:rFonts w:ascii="Arial" w:hAnsi="Arial" w:cs="Arial"/>
          <w:w w:val="110"/>
          <w:lang w:val="pt-BR"/>
        </w:rPr>
        <w:t>- apresentar desconformidade com quaisquer outras exigências deste Edital ou seus anexos, desde que insanável.</w:t>
      </w:r>
    </w:p>
    <w:p w14:paraId="14A6A1CD">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No caso de bens e serviços em geral, é indício de inexequibilidade das propostas valores inferiores a 50% (cinquenta por cento) do valor orçado pela Administração.</w:t>
      </w:r>
    </w:p>
    <w:p w14:paraId="5799FD41">
      <w:pPr>
        <w:numPr>
          <w:ilvl w:val="2"/>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A inexequibilidade, na hipótese de que trata o caput, só será considerada após diligência do pregoeiro, que comprove:</w:t>
      </w:r>
    </w:p>
    <w:p w14:paraId="49958C67">
      <w:pPr>
        <w:pStyle w:val="37"/>
        <w:numPr>
          <w:ilvl w:val="3"/>
          <w:numId w:val="4"/>
        </w:numPr>
        <w:ind w:firstLine="172"/>
        <w:rPr>
          <w:rFonts w:eastAsia="Tahoma"/>
          <w:w w:val="110"/>
          <w:sz w:val="22"/>
          <w:szCs w:val="22"/>
          <w:lang w:eastAsia="pt-PT" w:bidi="pt-PT"/>
        </w:rPr>
      </w:pPr>
      <w:r>
        <w:rPr>
          <w:rFonts w:eastAsia="Tahoma"/>
          <w:w w:val="110"/>
          <w:sz w:val="22"/>
          <w:szCs w:val="22"/>
          <w:lang w:eastAsia="pt-PT" w:bidi="pt-PT"/>
        </w:rPr>
        <w:t>que o custo do licitante ultrapassa o valor da proposta; e</w:t>
      </w:r>
    </w:p>
    <w:p w14:paraId="09382F3A">
      <w:pPr>
        <w:pStyle w:val="37"/>
        <w:numPr>
          <w:ilvl w:val="3"/>
          <w:numId w:val="4"/>
        </w:numPr>
        <w:ind w:firstLine="172"/>
        <w:rPr>
          <w:rFonts w:eastAsia="Tahoma"/>
          <w:w w:val="110"/>
          <w:sz w:val="22"/>
          <w:szCs w:val="22"/>
          <w:lang w:eastAsia="pt-PT" w:bidi="pt-PT"/>
        </w:rPr>
      </w:pPr>
      <w:r>
        <w:rPr>
          <w:rFonts w:eastAsia="Tahoma"/>
          <w:w w:val="110"/>
          <w:sz w:val="22"/>
          <w:szCs w:val="22"/>
          <w:lang w:eastAsia="pt-PT" w:bidi="pt-PT"/>
        </w:rPr>
        <w:t>inexistirem custos de oportunidade capazes de justificar o vulto da oferta.</w:t>
      </w:r>
    </w:p>
    <w:p w14:paraId="15A6203D">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Se houver indícios de inexequibilidade da proposta de preço, ou em caso da necessidade de esclarecimentos complementares, poderão ser efetuadas diligências, para que a empresa comprove a exequibilidade da proposta.</w:t>
      </w:r>
    </w:p>
    <w:p w14:paraId="212F7098">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4BA98A5">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157ECC02">
      <w:pPr>
        <w:numPr>
          <w:ilvl w:val="2"/>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O ajuste de que trata este dispositivo se limita a sanar erros ou falhas que não alterem a substância das propostas;</w:t>
      </w:r>
    </w:p>
    <w:p w14:paraId="3C6528F1">
      <w:pPr>
        <w:numPr>
          <w:ilvl w:val="2"/>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Considera-se erro no preenchimento da planilha passível de correção a indicação de recolhimento de impostos e contribuições na forma do Simples Nacional, quando não cabível esse regime.</w:t>
      </w:r>
    </w:p>
    <w:p w14:paraId="42089285">
      <w:pPr>
        <w:numPr>
          <w:ilvl w:val="1"/>
          <w:numId w:val="4"/>
        </w:numPr>
        <w:tabs>
          <w:tab w:val="left" w:pos="851"/>
        </w:tabs>
        <w:spacing w:before="113" w:line="360" w:lineRule="auto"/>
        <w:ind w:left="284" w:right="747" w:firstLine="0"/>
        <w:jc w:val="both"/>
        <w:rPr>
          <w:rFonts w:ascii="Arial" w:hAnsi="Arial" w:cs="Arial"/>
          <w:b/>
          <w:w w:val="110"/>
          <w:lang w:val="pt-BR"/>
        </w:rPr>
      </w:pPr>
      <w:r>
        <w:rPr>
          <w:rFonts w:ascii="Arial" w:hAnsi="Arial" w:cs="Arial"/>
          <w:w w:val="110"/>
          <w:lang w:val="pt-BR"/>
        </w:rPr>
        <w:t>– Para fins de análise da proposta quanto ao cumprimento das especificações do objeto, poderá ser colhida a manifestação escrita do setor requisitante do serviço ou da área especializada no objeto.</w:t>
      </w:r>
    </w:p>
    <w:p w14:paraId="6AEDC289">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O preço proposto deverá ser expresso em moeda corrente nacional (Real), com até duas casas decimais (0,00).</w:t>
      </w:r>
    </w:p>
    <w:p w14:paraId="1667167B">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Caso o Termo de Referência exija a apresentação de amostra, o licitante classificado em primeiro lugar deverá apresentá-la, conforme disciplinado no Termo de Referência, sob pena de não aceitação da proposta.</w:t>
      </w:r>
    </w:p>
    <w:p w14:paraId="0BD63392">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Por meio de mensagem no sistema, será divulgado o local e horário de realização do procedimento para a avaliação das amostras, cuja presença será facultada a todos os interessados, incluindo os demais licitantes.</w:t>
      </w:r>
    </w:p>
    <w:p w14:paraId="33851512">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Os resultados das avaliações serão divulgados por meio de mensagem no sistema.</w:t>
      </w:r>
    </w:p>
    <w:p w14:paraId="138633C0">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No caso de não haver entrega da amostra ou ocorrer atraso na entrega, sem justificativa aceita pelo Pregoeiro, ou havendo entrega de amostra fora das especificações previstas neste Edital, a proposta do licitante será recusada.</w:t>
      </w:r>
    </w:p>
    <w:p w14:paraId="1E7C08EB">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6A276C62">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ABE1D49">
      <w:pPr>
        <w:numPr>
          <w:ilvl w:val="0"/>
          <w:numId w:val="4"/>
        </w:numPr>
        <w:tabs>
          <w:tab w:val="left" w:pos="709"/>
        </w:tabs>
        <w:spacing w:before="199" w:line="360" w:lineRule="auto"/>
        <w:ind w:left="284" w:right="747" w:firstLine="0"/>
        <w:jc w:val="both"/>
        <w:outlineLvl w:val="0"/>
        <w:rPr>
          <w:rFonts w:ascii="Arial" w:hAnsi="Arial" w:eastAsia="Gill Sans MT" w:cs="Arial"/>
          <w:b/>
          <w:bCs/>
          <w:spacing w:val="-3"/>
          <w:lang w:val="pt-BR"/>
        </w:rPr>
      </w:pPr>
      <w:bookmarkStart w:id="55" w:name="_Toc151457793"/>
      <w:bookmarkStart w:id="56" w:name="_Toc122606109"/>
      <w:r>
        <w:rPr>
          <w:rFonts w:ascii="Arial" w:hAnsi="Arial" w:eastAsia="Gill Sans MT" w:cs="Arial"/>
          <w:b/>
          <w:bCs/>
          <w:spacing w:val="-3"/>
          <w:lang w:val="pt-BR"/>
        </w:rPr>
        <w:t>DA FASE DE HABILITAÇÃO</w:t>
      </w:r>
      <w:bookmarkEnd w:id="55"/>
      <w:bookmarkEnd w:id="56"/>
    </w:p>
    <w:bookmarkEnd w:id="54"/>
    <w:p w14:paraId="7966F76D">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Caso atendidas as condições de participação a habilitação das licitantes será verificadas por meio do SICAF, com base nos documentos por ele abrangidos, e por meio da documentação para fins de habilitação, nos termos dos </w:t>
      </w:r>
      <w:r>
        <w:fldChar w:fldCharType="begin"/>
      </w:r>
      <w:r>
        <w:instrText xml:space="preserve"> HYPERLINK "http://www.planalto.gov.br/ccivil_03/_ato2019-2022/2021/lei/L14133.htm" \l "art62" </w:instrText>
      </w:r>
      <w:r>
        <w:fldChar w:fldCharType="separate"/>
      </w:r>
      <w:r>
        <w:rPr>
          <w:rStyle w:val="9"/>
          <w:rFonts w:ascii="Arial" w:hAnsi="Arial" w:cs="Arial"/>
          <w:w w:val="110"/>
          <w:lang w:val="pt-BR"/>
        </w:rPr>
        <w:t>arts. 62 a 70 da Lei nº 14.133, de 2021</w:t>
      </w:r>
      <w:r>
        <w:rPr>
          <w:rStyle w:val="9"/>
          <w:rFonts w:ascii="Arial" w:hAnsi="Arial" w:cs="Arial"/>
          <w:w w:val="110"/>
          <w:lang w:val="pt-BR"/>
        </w:rPr>
        <w:fldChar w:fldCharType="end"/>
      </w:r>
      <w:r>
        <w:rPr>
          <w:rFonts w:ascii="Arial" w:hAnsi="Arial" w:cs="Arial"/>
          <w:w w:val="110"/>
          <w:lang w:val="pt-BR"/>
        </w:rPr>
        <w:t xml:space="preserve"> especificada neste edital.</w:t>
      </w:r>
    </w:p>
    <w:p w14:paraId="609F0A1C">
      <w:pPr>
        <w:numPr>
          <w:ilvl w:val="2"/>
          <w:numId w:val="4"/>
        </w:numPr>
        <w:tabs>
          <w:tab w:val="left" w:pos="993"/>
        </w:tabs>
        <w:spacing w:before="113" w:line="360" w:lineRule="auto"/>
        <w:ind w:left="284" w:right="747" w:firstLine="0"/>
        <w:jc w:val="both"/>
        <w:rPr>
          <w:rFonts w:ascii="Arial" w:hAnsi="Arial" w:cs="Arial"/>
          <w:w w:val="110"/>
          <w:highlight w:val="yellow"/>
          <w:lang w:val="pt-BR"/>
        </w:rPr>
      </w:pPr>
      <w:r>
        <w:rPr>
          <w:rFonts w:ascii="Arial" w:hAnsi="Arial" w:cs="Arial"/>
          <w:w w:val="110"/>
          <w:lang w:val="pt-BR"/>
        </w:rPr>
        <w:t xml:space="preserve"> - A documentação exigida para fins de habilitação jurídica, fiscal, social e trabalhista e econômico-ﬁnanceira, poderá ser substituída pelo registro cadastral no SICAF.</w:t>
      </w:r>
    </w:p>
    <w:p w14:paraId="00C866E2">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instrText xml:space="preserve"> HYPERLINK "https://www.gov.br/compras/pt-br/acesso-a-informacao/legislacao/instrucoes-normativas/instrucao-normativa-no-3-de-26-de-abril-de-2018" \l "art4" </w:instrText>
      </w:r>
      <w:r>
        <w:fldChar w:fldCharType="separate"/>
      </w:r>
      <w:r>
        <w:rPr>
          <w:rFonts w:ascii="Arial" w:hAnsi="Arial" w:cs="Arial"/>
          <w:w w:val="110"/>
          <w:lang w:val="pt-BR"/>
        </w:rPr>
        <w:t>IN nº 3/2018, art. 4º, §1º, e art. 6º, §4º</w:t>
      </w:r>
      <w:r>
        <w:rPr>
          <w:rFonts w:ascii="Arial" w:hAnsi="Arial" w:cs="Arial"/>
          <w:w w:val="110"/>
          <w:lang w:val="pt-BR"/>
        </w:rPr>
        <w:fldChar w:fldCharType="end"/>
      </w:r>
      <w:r>
        <w:rPr>
          <w:rFonts w:ascii="Arial" w:hAnsi="Arial" w:cs="Arial"/>
          <w:w w:val="110"/>
          <w:lang w:val="pt-BR"/>
        </w:rPr>
        <w:t>).</w:t>
      </w:r>
    </w:p>
    <w:p w14:paraId="754E8B40">
      <w:pPr>
        <w:numPr>
          <w:ilvl w:val="2"/>
          <w:numId w:val="4"/>
        </w:numPr>
        <w:tabs>
          <w:tab w:val="left" w:pos="993"/>
        </w:tabs>
        <w:spacing w:before="113" w:line="360" w:lineRule="auto"/>
        <w:ind w:left="284" w:right="747" w:firstLine="0"/>
        <w:jc w:val="both"/>
        <w:rPr>
          <w:rFonts w:ascii="Arial" w:hAnsi="Arial" w:cs="Arial"/>
          <w:w w:val="110"/>
          <w:lang w:val="pt-BR"/>
        </w:rPr>
      </w:pPr>
      <w:bookmarkStart w:id="57" w:name="_Ref114665515"/>
      <w:r>
        <w:rPr>
          <w:rFonts w:ascii="Arial" w:hAnsi="Arial" w:cs="Arial"/>
          <w:w w:val="110"/>
          <w:lang w:val="pt-BR"/>
        </w:rPr>
        <w:t xml:space="preserve">- Somente serão disponibilizados para acesso público os documentos de habilitação do licitante cuja proposta atenda ao edital de licitação, após concluídos os procedimentos </w:t>
      </w:r>
      <w:bookmarkEnd w:id="57"/>
      <w:r>
        <w:rPr>
          <w:rFonts w:ascii="Arial" w:hAnsi="Arial" w:cs="Arial"/>
          <w:w w:val="110"/>
          <w:lang w:val="pt-BR"/>
        </w:rPr>
        <w:t>de habilitação.</w:t>
      </w:r>
    </w:p>
    <w:p w14:paraId="27D0A20D">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Será verificado se o licitante apresentou no sistema, sob pena de inabilitação,  a declaração de que atende aos requisitos de habilitação, e o declarante responderá pela veracidade das informações prestadas, na forma da lei (</w:t>
      </w:r>
      <w:r>
        <w:fldChar w:fldCharType="begin"/>
      </w:r>
      <w:r>
        <w:instrText xml:space="preserve"> HYPERLINK "http://www.planalto.gov.br/ccivil_03/_ato2019-2022/2021/lei/L14133.htm" \l "art63" \h </w:instrText>
      </w:r>
      <w:r>
        <w:fldChar w:fldCharType="separate"/>
      </w:r>
      <w:r>
        <w:rPr>
          <w:lang w:val="pt-BR"/>
        </w:rPr>
        <w:t>art. 63, I, da Lei nº 14.133/2021</w:t>
      </w:r>
      <w:r>
        <w:rPr>
          <w:lang w:val="pt-BR"/>
        </w:rPr>
        <w:fldChar w:fldCharType="end"/>
      </w:r>
      <w:r>
        <w:rPr>
          <w:rFonts w:ascii="Arial" w:hAnsi="Arial" w:cs="Arial"/>
          <w:w w:val="110"/>
          <w:lang w:val="pt-BR"/>
        </w:rPr>
        <w:t>).</w:t>
      </w:r>
    </w:p>
    <w:p w14:paraId="14514447">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32D197B">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w:t>
      </w:r>
      <w:bookmarkStart w:id="58" w:name="_Hlk142643242"/>
      <w:r>
        <w:rPr>
          <w:rFonts w:ascii="Arial" w:hAnsi="Arial" w:cs="Arial"/>
          <w:w w:val="110"/>
          <w:lang w:val="pt-BR"/>
        </w:rPr>
        <w:t>Será verificado se o licitante apresentou no sistema,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192C86B">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w:t>
      </w:r>
      <w:r>
        <w:rPr>
          <w:rFonts w:ascii="Arial" w:hAnsi="Arial" w:cs="Arial"/>
          <w:b/>
          <w:bCs/>
          <w:w w:val="110"/>
          <w:lang w:val="pt-BR"/>
        </w:rPr>
        <w:t>Deverá</w:t>
      </w:r>
      <w:r>
        <w:rPr>
          <w:rFonts w:ascii="Arial" w:hAnsi="Arial" w:cs="Arial"/>
          <w:w w:val="110"/>
          <w:lang w:val="pt-BR"/>
        </w:rPr>
        <w:t xml:space="preserve"> apresentar ainda a </w:t>
      </w:r>
      <w:r>
        <w:rPr>
          <w:rFonts w:ascii="Arial" w:hAnsi="Arial" w:cs="Arial"/>
          <w:b/>
          <w:bCs/>
          <w:w w:val="110"/>
          <w:lang w:val="pt-BR"/>
        </w:rPr>
        <w:t>DECLARAÇÃO UNIFICADA</w:t>
      </w:r>
      <w:r>
        <w:rPr>
          <w:rFonts w:ascii="Arial" w:hAnsi="Arial" w:cs="Arial"/>
          <w:w w:val="110"/>
          <w:lang w:val="pt-BR"/>
        </w:rPr>
        <w:t xml:space="preserve"> conforme modelo. (</w:t>
      </w:r>
      <w:r>
        <w:rPr>
          <w:rFonts w:ascii="Arial" w:hAnsi="Arial" w:cs="Arial"/>
          <w:b/>
          <w:bCs/>
          <w:w w:val="110"/>
          <w:lang w:val="pt-BR"/>
        </w:rPr>
        <w:t>ANEXO IV</w:t>
      </w:r>
      <w:r>
        <w:rPr>
          <w:rFonts w:ascii="Arial" w:hAnsi="Arial" w:cs="Arial"/>
          <w:w w:val="110"/>
          <w:lang w:val="pt-BR"/>
        </w:rPr>
        <w:t>)</w:t>
      </w:r>
    </w:p>
    <w:p w14:paraId="3AAD2B0A">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w:t>
      </w:r>
      <w:r>
        <w:rPr>
          <w:rFonts w:ascii="Arial" w:hAnsi="Arial" w:cs="Arial"/>
          <w:b/>
          <w:bCs/>
          <w:w w:val="110"/>
          <w:lang w:val="pt-BR"/>
        </w:rPr>
        <w:t>Deverá</w:t>
      </w:r>
      <w:r>
        <w:rPr>
          <w:rFonts w:ascii="Arial" w:hAnsi="Arial" w:cs="Arial"/>
          <w:w w:val="110"/>
          <w:lang w:val="pt-BR"/>
        </w:rPr>
        <w:t xml:space="preserve"> apresentar ainda a </w:t>
      </w:r>
      <w:r>
        <w:rPr>
          <w:rFonts w:ascii="Arial" w:hAnsi="Arial" w:cs="Arial"/>
          <w:b/>
          <w:bCs/>
          <w:w w:val="110"/>
          <w:lang w:val="pt-BR"/>
        </w:rPr>
        <w:t>DECLARAÇÃO DE ME/EPP</w:t>
      </w:r>
      <w:r>
        <w:rPr>
          <w:rFonts w:ascii="Arial" w:hAnsi="Arial" w:cs="Arial"/>
          <w:w w:val="110"/>
          <w:lang w:val="pt-BR"/>
        </w:rPr>
        <w:t xml:space="preserve"> conforme modelo. (</w:t>
      </w:r>
      <w:r>
        <w:rPr>
          <w:rFonts w:ascii="Arial" w:hAnsi="Arial" w:cs="Arial"/>
          <w:b/>
          <w:bCs/>
          <w:w w:val="110"/>
          <w:lang w:val="pt-BR"/>
        </w:rPr>
        <w:t>ANEXO V</w:t>
      </w:r>
      <w:r>
        <w:rPr>
          <w:rFonts w:ascii="Arial" w:hAnsi="Arial" w:cs="Arial"/>
          <w:w w:val="110"/>
          <w:lang w:val="pt-BR"/>
        </w:rPr>
        <w:t>), se for o caso.</w:t>
      </w:r>
    </w:p>
    <w:bookmarkEnd w:id="58"/>
    <w:p w14:paraId="7CCA84F4">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fldChar w:fldCharType="begin"/>
      </w:r>
      <w:r>
        <w:instrText xml:space="preserve"> HYPERLINK "https://www.gov.br/compras/pt-br/acesso-a-informacao/legislacao/instrucoes-normativas/instrucao-normativa-no-3-de-26-de-abril-de-2018" </w:instrText>
      </w:r>
      <w:r>
        <w:fldChar w:fldCharType="separate"/>
      </w:r>
      <w:r>
        <w:rPr>
          <w:lang w:val="pt-BR"/>
        </w:rPr>
        <w:t>IN nº 3/2018, art. 7º, caput</w:t>
      </w:r>
      <w:r>
        <w:rPr>
          <w:lang w:val="pt-BR"/>
        </w:rPr>
        <w:fldChar w:fldCharType="end"/>
      </w:r>
      <w:r>
        <w:rPr>
          <w:rFonts w:ascii="Arial" w:hAnsi="Arial" w:cs="Arial"/>
          <w:w w:val="110"/>
          <w:lang w:val="pt-BR"/>
        </w:rPr>
        <w:t>).</w:t>
      </w:r>
    </w:p>
    <w:p w14:paraId="09FB34C9">
      <w:pPr>
        <w:numPr>
          <w:ilvl w:val="2"/>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w:t>
      </w:r>
      <w:r>
        <w:rPr>
          <w:rFonts w:ascii="Arial" w:hAnsi="Arial" w:cs="Arial"/>
          <w:w w:val="110"/>
          <w:lang w:val="pt-BR"/>
        </w:rPr>
        <w:tab/>
      </w:r>
      <w:r>
        <w:rPr>
          <w:rFonts w:ascii="Arial" w:hAnsi="Arial" w:cs="Arial"/>
          <w:b/>
          <w:bCs/>
          <w:w w:val="110"/>
          <w:u w:val="single"/>
          <w:lang w:val="pt-BR"/>
        </w:rPr>
        <w:t>A não observância do disposto no item anterior poderá ensejar DESCLASSIFICAÇÃO no momento da habilitação</w:t>
      </w:r>
      <w:r>
        <w:rPr>
          <w:rFonts w:ascii="Arial" w:hAnsi="Arial" w:cs="Arial"/>
          <w:w w:val="110"/>
          <w:lang w:val="pt-BR"/>
        </w:rPr>
        <w:t>. (</w:t>
      </w:r>
      <w:r>
        <w:fldChar w:fldCharType="begin"/>
      </w:r>
      <w:r>
        <w:instrText xml:space="preserve"> HYPERLINK "https://www.gov.br/compras/pt-br/acesso-a-informacao/legislacao/instrucoes-normativas/instrucao-normativa-no-3-de-26-de-abril-de-2018" </w:instrText>
      </w:r>
      <w:r>
        <w:fldChar w:fldCharType="separate"/>
      </w:r>
      <w:r>
        <w:rPr>
          <w:rStyle w:val="9"/>
          <w:rFonts w:ascii="Arial" w:hAnsi="Arial" w:cs="Arial"/>
          <w:w w:val="110"/>
          <w:u w:val="none"/>
          <w:lang w:val="pt-BR"/>
        </w:rPr>
        <w:t>IN nº 3/2018, art. 7º, parágrafo único</w:t>
      </w:r>
      <w:r>
        <w:rPr>
          <w:rStyle w:val="9"/>
          <w:rFonts w:ascii="Arial" w:hAnsi="Arial" w:cs="Arial"/>
          <w:w w:val="110"/>
          <w:u w:val="none"/>
          <w:lang w:val="pt-BR"/>
        </w:rPr>
        <w:fldChar w:fldCharType="end"/>
      </w:r>
      <w:r>
        <w:rPr>
          <w:rFonts w:ascii="Arial" w:hAnsi="Arial" w:cs="Arial"/>
          <w:w w:val="110"/>
          <w:lang w:val="pt-BR"/>
        </w:rPr>
        <w:t>).</w:t>
      </w:r>
    </w:p>
    <w:p w14:paraId="6C937203">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w:t>
      </w:r>
      <w:bookmarkStart w:id="59" w:name="_Hlk131695072"/>
      <w:r>
        <w:rPr>
          <w:rFonts w:ascii="Arial" w:hAnsi="Arial" w:cs="Arial"/>
          <w:w w:val="110"/>
          <w:lang w:val="pt-BR"/>
        </w:rPr>
        <w:t>A verificação pelo pregoeiro, em sítios eletrônicos oficiais de órgãos e entidades emissores de certidões constitui meio legal de prova, para fins de habilitação</w:t>
      </w:r>
      <w:bookmarkEnd w:id="59"/>
      <w:r>
        <w:rPr>
          <w:rFonts w:ascii="Arial" w:hAnsi="Arial" w:cs="Arial"/>
          <w:w w:val="110"/>
          <w:lang w:val="pt-BR"/>
        </w:rPr>
        <w:t>, nos termos do art. 39, §6º, IN 73/2022.</w:t>
      </w:r>
    </w:p>
    <w:p w14:paraId="1A926AA4">
      <w:pPr>
        <w:numPr>
          <w:ilvl w:val="2"/>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w:t>
      </w:r>
      <w:bookmarkStart w:id="60" w:name="_Ref114663151"/>
      <w:r>
        <w:rPr>
          <w:rFonts w:ascii="Arial" w:hAnsi="Arial" w:cs="Arial"/>
          <w:w w:val="110"/>
          <w:lang w:val="pt-BR"/>
        </w:rPr>
        <w:t>Os documentos exigidos para habilitação serão enviados por meio do sistema, em formato digital, no prazo de 02 (duas) horas, prorrogável por igual período, contado da solicitação do pregoeiro.</w:t>
      </w:r>
      <w:bookmarkEnd w:id="60"/>
    </w:p>
    <w:p w14:paraId="7D06A97F">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Os documentos de habilitação, para fins de verificação, somente serão exigidos em relação ao licitante vencedor.</w:t>
      </w:r>
    </w:p>
    <w:p w14:paraId="3838D847">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Encerrado o prazo para envio da documentação (habilitação ou proposta) de que trata o item 15.8.1 poderá ser admitida mediante realização de diligência a apresentação de novos documentos para a:</w:t>
      </w:r>
    </w:p>
    <w:p w14:paraId="20249CDB">
      <w:pPr>
        <w:numPr>
          <w:ilvl w:val="2"/>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 atualização de documentos cuja validade tenha expirado após a data de recebimento das propostas;</w:t>
      </w:r>
    </w:p>
    <w:p w14:paraId="2202A51A">
      <w:pPr>
        <w:numPr>
          <w:ilvl w:val="2"/>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 apresentação de documentos de cunho declaratório emitidos unilateralmente pelo licitante;</w:t>
      </w:r>
    </w:p>
    <w:p w14:paraId="76B6C1A9">
      <w:pPr>
        <w:numPr>
          <w:ilvl w:val="2"/>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 Aferição das condições de habilitação ou de classificação do licitante decorrentes de fatos ou condições preexistentes ao momento da abertura do certame;</w:t>
      </w:r>
    </w:p>
    <w:p w14:paraId="400A93B1">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A realização ou não de diligência ocorrerá mediante decisão fundamentada do Pregoeiro antecedida do de diálogo com os setores administrativos interessados no objeto da licitação, não se configurando direito subjetivo do licitante a juntada de documentos após o encerramento do prazo estabelecido no item 15.8.1.</w:t>
      </w:r>
    </w:p>
    <w:p w14:paraId="0DCE9FE6">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A apresentação de documentos complementares, substitutivos ou esclarecedores por meio de diligência será realizada no prazo de 02 (duas) horas, exclusivamente pelo sistema eletrônico, e findo o prazo assinalado sem o envio da nova documentação restará preclusa, em caráter definitivo, a possibilidade de o licitante juntar novos documentos, o que implicará em sua inabilitação ou desclassificação do certame.</w:t>
      </w:r>
    </w:p>
    <w:p w14:paraId="60699019">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Na hipótese de o licitante não atender às exigências para habilitação, o pregoeiro examinará a proposta subsequente e assim sucessivamente, na ordem de classificação, até a apuração de uma proposta que atenda ao presente edital, observado o prazo disposto no item 15.8.1.</w:t>
      </w:r>
    </w:p>
    <w:p w14:paraId="1C42F45E">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A documentação deverá ter validade na data estabelecida no preâmbulo deste edital para a abertura da sessão. As certidões valerão nos prazos que lhes são próprios ou, inexistindo esse prazo, reputar-se-ão válidas por 90 (noventa) dias, contados de sua expedição.</w:t>
      </w:r>
    </w:p>
    <w:p w14:paraId="1A28524E">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w:t>
      </w:r>
      <w:bookmarkStart w:id="61" w:name="_Ref114670319"/>
      <w:r>
        <w:rPr>
          <w:rFonts w:ascii="Arial" w:hAnsi="Arial" w:cs="Arial"/>
          <w:w w:val="110"/>
          <w:lang w:val="pt-BR"/>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1"/>
    </w:p>
    <w:p w14:paraId="6590C6DF">
      <w:pPr>
        <w:numPr>
          <w:ilvl w:val="0"/>
          <w:numId w:val="4"/>
        </w:numPr>
        <w:tabs>
          <w:tab w:val="left" w:pos="709"/>
        </w:tabs>
        <w:spacing w:before="199" w:line="360" w:lineRule="auto"/>
        <w:ind w:left="284" w:right="747" w:firstLine="0"/>
        <w:jc w:val="both"/>
        <w:outlineLvl w:val="0"/>
        <w:rPr>
          <w:rFonts w:ascii="Arial" w:hAnsi="Arial" w:eastAsia="Gill Sans MT" w:cs="Arial"/>
          <w:b/>
          <w:bCs/>
          <w:spacing w:val="-3"/>
          <w:lang w:val="pt-BR"/>
        </w:rPr>
      </w:pPr>
      <w:bookmarkStart w:id="62" w:name="_Toc151457794"/>
      <w:bookmarkStart w:id="63" w:name="_Toc62718167"/>
      <w:r>
        <w:rPr>
          <w:rFonts w:ascii="Arial" w:hAnsi="Arial" w:eastAsia="Gill Sans MT" w:cs="Arial"/>
          <w:b/>
          <w:bCs/>
          <w:spacing w:val="-3"/>
          <w:lang w:val="pt-BR"/>
        </w:rPr>
        <w:t>HABILITAÇÃO JURÍDICA</w:t>
      </w:r>
      <w:bookmarkEnd w:id="62"/>
      <w:bookmarkEnd w:id="63"/>
    </w:p>
    <w:p w14:paraId="0BC15ED7">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w:t>
      </w:r>
      <w:bookmarkStart w:id="64" w:name="_Ref115800561"/>
      <w:r>
        <w:rPr>
          <w:rFonts w:ascii="Arial" w:hAnsi="Arial" w:cs="Arial"/>
          <w:b/>
          <w:bCs/>
          <w:w w:val="110"/>
          <w:lang w:val="pt-BR"/>
        </w:rPr>
        <w:t>Pessoa física:</w:t>
      </w:r>
      <w:r>
        <w:rPr>
          <w:rFonts w:ascii="Arial" w:hAnsi="Arial" w:cs="Arial"/>
          <w:w w:val="110"/>
          <w:lang w:val="pt-BR"/>
        </w:rPr>
        <w:t xml:space="preserve"> cédula de identidade (RG) ou documento equivalente que, por força de lei, tenha validade para fins de identificação em todo o território nacional;</w:t>
      </w:r>
      <w:bookmarkEnd w:id="64"/>
    </w:p>
    <w:p w14:paraId="7448060B">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w:t>
      </w:r>
      <w:r>
        <w:rPr>
          <w:rFonts w:ascii="Arial" w:hAnsi="Arial" w:cs="Arial"/>
          <w:b/>
          <w:bCs/>
          <w:w w:val="110"/>
          <w:lang w:val="pt-BR"/>
        </w:rPr>
        <w:t>Empresário individual:</w:t>
      </w:r>
      <w:r>
        <w:rPr>
          <w:rFonts w:ascii="Arial" w:hAnsi="Arial" w:cs="Arial"/>
          <w:w w:val="110"/>
          <w:lang w:val="pt-BR"/>
        </w:rPr>
        <w:t xml:space="preserve"> inscrição no Registro Público de Empresas Mercantis, a cargo da Junta Comercial da respectiva sede; </w:t>
      </w:r>
    </w:p>
    <w:p w14:paraId="57BE63AA">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w:t>
      </w:r>
      <w:r>
        <w:rPr>
          <w:rFonts w:ascii="Arial" w:hAnsi="Arial" w:cs="Arial"/>
          <w:b/>
          <w:bCs/>
          <w:w w:val="110"/>
          <w:lang w:val="pt-BR"/>
        </w:rPr>
        <w:t>Microempreendedor Individual - MEI:</w:t>
      </w:r>
      <w:r>
        <w:rPr>
          <w:rFonts w:ascii="Arial" w:hAnsi="Arial" w:cs="Arial"/>
          <w:w w:val="110"/>
          <w:lang w:val="pt-BR"/>
        </w:rPr>
        <w:t xml:space="preserve"> Certificado da Condição de Microempreendedor Individual - CCMEI, cuja aceitação ficará condicionada à verificação da autenticidade no sítio </w:t>
      </w:r>
      <w:r>
        <w:fldChar w:fldCharType="begin"/>
      </w:r>
      <w:r>
        <w:instrText xml:space="preserve"> HYPERLINK "https://www.gov.br/empresas-e-negocios/pt-br/empreendedor" </w:instrText>
      </w:r>
      <w:r>
        <w:fldChar w:fldCharType="separate"/>
      </w:r>
      <w:r>
        <w:rPr>
          <w:rStyle w:val="9"/>
          <w:rFonts w:ascii="Arial" w:hAnsi="Arial" w:cs="Arial"/>
          <w:w w:val="110"/>
          <w:lang w:val="pt-BR"/>
        </w:rPr>
        <w:t>https://www.gov.br/empresas-e-negocios/pt-br/empreendedor</w:t>
      </w:r>
      <w:r>
        <w:rPr>
          <w:rStyle w:val="9"/>
          <w:rFonts w:ascii="Arial" w:hAnsi="Arial" w:cs="Arial"/>
          <w:w w:val="110"/>
          <w:lang w:val="pt-BR"/>
        </w:rPr>
        <w:fldChar w:fldCharType="end"/>
      </w:r>
      <w:r>
        <w:rPr>
          <w:rFonts w:ascii="Arial" w:hAnsi="Arial" w:cs="Arial"/>
          <w:w w:val="110"/>
          <w:lang w:val="pt-BR"/>
        </w:rPr>
        <w:t xml:space="preserve">; </w:t>
      </w:r>
    </w:p>
    <w:p w14:paraId="129E3F33">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w:t>
      </w:r>
      <w:r>
        <w:rPr>
          <w:rFonts w:ascii="Arial" w:hAnsi="Arial" w:cs="Arial"/>
          <w:b/>
          <w:bCs/>
          <w:w w:val="110"/>
          <w:lang w:val="pt-BR"/>
        </w:rPr>
        <w:t>Sociedade empresária, sociedade limitada unipessoal – SLU ou sociedade identificada como empresa individual de responsabilidade limitada - EIRELI:</w:t>
      </w:r>
      <w:r>
        <w:rPr>
          <w:rFonts w:ascii="Arial" w:hAnsi="Arial" w:cs="Arial"/>
          <w:w w:val="110"/>
          <w:lang w:val="pt-BR"/>
        </w:rPr>
        <w:t xml:space="preserve"> inscrição do ato constitutivo, estatuto ou contrato social no Registro Público de Empresas Mercantis, a cargo da Junta Comercial da respectiva sede, acompanhada de documento comprobatório de seus administradores;</w:t>
      </w:r>
    </w:p>
    <w:p w14:paraId="2707C3FD">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w:t>
      </w:r>
      <w:r>
        <w:rPr>
          <w:rFonts w:ascii="Arial" w:hAnsi="Arial" w:cs="Arial"/>
          <w:b/>
          <w:bCs/>
          <w:w w:val="110"/>
          <w:lang w:val="pt-BR"/>
        </w:rPr>
        <w:t>Sociedade empresária estrangeira:</w:t>
      </w:r>
      <w:r>
        <w:rPr>
          <w:rFonts w:ascii="Arial" w:hAnsi="Arial" w:cs="Arial"/>
          <w:w w:val="110"/>
          <w:lang w:val="pt-B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r>
        <w:fldChar w:fldCharType="begin"/>
      </w:r>
      <w:r>
        <w:instrText xml:space="preserve"> HYPERLINK "https://www.gov.br/economia/pt-br/assuntos/drei/legislacao/arquivos/legislacoes-federais/indrei772020.pdf" </w:instrText>
      </w:r>
      <w:r>
        <w:fldChar w:fldCharType="separate"/>
      </w:r>
      <w:r>
        <w:rPr>
          <w:rStyle w:val="9"/>
          <w:rFonts w:ascii="Arial" w:hAnsi="Arial" w:cs="Arial"/>
          <w:w w:val="110"/>
          <w:lang w:val="pt-BR"/>
        </w:rPr>
        <w:t>Normativa DREI/ME n.º 77, de 18 de março de 2020</w:t>
      </w:r>
      <w:r>
        <w:rPr>
          <w:rStyle w:val="9"/>
          <w:rFonts w:ascii="Arial" w:hAnsi="Arial" w:cs="Arial"/>
          <w:w w:val="110"/>
          <w:lang w:val="pt-BR"/>
        </w:rPr>
        <w:fldChar w:fldCharType="end"/>
      </w:r>
      <w:r>
        <w:rPr>
          <w:rFonts w:ascii="Arial" w:hAnsi="Arial" w:cs="Arial"/>
          <w:w w:val="110"/>
          <w:lang w:val="pt-BR"/>
        </w:rPr>
        <w:t>.</w:t>
      </w:r>
    </w:p>
    <w:p w14:paraId="3082DD42">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w:t>
      </w:r>
      <w:r>
        <w:rPr>
          <w:rFonts w:ascii="Arial" w:hAnsi="Arial" w:cs="Arial"/>
          <w:b/>
          <w:bCs/>
          <w:w w:val="110"/>
          <w:lang w:val="pt-BR"/>
        </w:rPr>
        <w:t xml:space="preserve">Sociedade simples: </w:t>
      </w:r>
      <w:r>
        <w:rPr>
          <w:rFonts w:ascii="Arial" w:hAnsi="Arial" w:cs="Arial"/>
          <w:w w:val="110"/>
          <w:lang w:val="pt-BR"/>
        </w:rPr>
        <w:t>inscrição do ato constitutivo no Registro Civil de Pessoas Jurídicas do local de sua sede, acompanhada de documento comprobatório de seus administradores;</w:t>
      </w:r>
    </w:p>
    <w:p w14:paraId="6D623407">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w:t>
      </w:r>
      <w:r>
        <w:rPr>
          <w:rFonts w:ascii="Arial" w:hAnsi="Arial" w:cs="Arial"/>
          <w:b/>
          <w:bCs/>
          <w:w w:val="110"/>
          <w:lang w:val="pt-BR"/>
        </w:rPr>
        <w:t>Filial, sucursal ou agência de sociedade simples ou empresária:</w:t>
      </w:r>
      <w:r>
        <w:rPr>
          <w:rFonts w:ascii="Arial" w:hAnsi="Arial" w:cs="Arial"/>
          <w:w w:val="110"/>
          <w:lang w:val="pt-BR"/>
        </w:rPr>
        <w:t xml:space="preserve"> inscrição do ato constitutivo da filial, sucursal ou agência da sociedade simples ou empresária, respectivamente, no Registro Civil das Pessoas Jurídicas ou no Registro Público de Empresas </w:t>
      </w:r>
      <w:bookmarkStart w:id="65" w:name="_Int_ySfCXwr4"/>
      <w:r>
        <w:rPr>
          <w:rFonts w:ascii="Arial" w:hAnsi="Arial" w:cs="Arial"/>
          <w:w w:val="110"/>
          <w:lang w:val="pt-BR"/>
        </w:rPr>
        <w:t>Mercantis onde</w:t>
      </w:r>
      <w:bookmarkEnd w:id="65"/>
      <w:r>
        <w:rPr>
          <w:rFonts w:ascii="Arial" w:hAnsi="Arial" w:cs="Arial"/>
          <w:w w:val="110"/>
          <w:lang w:val="pt-BR"/>
        </w:rPr>
        <w:t xml:space="preserve"> opera, com averbação no Registro onde tem sede a matriz</w:t>
      </w:r>
    </w:p>
    <w:p w14:paraId="4868BC8C">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w:t>
      </w:r>
      <w:r>
        <w:rPr>
          <w:rFonts w:ascii="Arial" w:hAnsi="Arial" w:cs="Arial"/>
          <w:b/>
          <w:bCs/>
          <w:w w:val="110"/>
          <w:lang w:val="pt-BR"/>
        </w:rPr>
        <w:t>Sociedade cooperativa:</w:t>
      </w:r>
      <w:r>
        <w:rPr>
          <w:rFonts w:ascii="Arial" w:hAnsi="Arial" w:cs="Arial"/>
          <w:w w:val="110"/>
          <w:lang w:val="pt-BR"/>
        </w:rPr>
        <w:t xml:space="preserve"> ata de fundação e estatuto social, com a ata da assembleia que o aprovou, devidamente arquivado na Junta Comercial ou inscrito no Registro Civil das Pessoas Jurídicas da respectiva sede, além do registro de que trata o </w:t>
      </w:r>
      <w:r>
        <w:fldChar w:fldCharType="begin"/>
      </w:r>
      <w:r>
        <w:instrText xml:space="preserve"> HYPERLINK "https://www.planalto.gov.br/ccivil_03/leis/l5764.htm" \l "art107" </w:instrText>
      </w:r>
      <w:r>
        <w:fldChar w:fldCharType="separate"/>
      </w:r>
      <w:r>
        <w:rPr>
          <w:rStyle w:val="9"/>
          <w:rFonts w:ascii="Arial" w:hAnsi="Arial" w:cs="Arial"/>
          <w:w w:val="110"/>
          <w:lang w:val="pt-BR"/>
        </w:rPr>
        <w:t>art. 107 da Lei nº 5.764, de 16 de dezembro 1971</w:t>
      </w:r>
      <w:r>
        <w:rPr>
          <w:rStyle w:val="9"/>
          <w:rFonts w:ascii="Arial" w:hAnsi="Arial" w:cs="Arial"/>
          <w:w w:val="110"/>
          <w:lang w:val="pt-BR"/>
        </w:rPr>
        <w:fldChar w:fldCharType="end"/>
      </w:r>
      <w:r>
        <w:rPr>
          <w:rFonts w:ascii="Arial" w:hAnsi="Arial" w:cs="Arial"/>
          <w:w w:val="110"/>
          <w:lang w:val="pt-BR"/>
        </w:rPr>
        <w:t>.</w:t>
      </w:r>
    </w:p>
    <w:p w14:paraId="75395CBF">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w:t>
      </w:r>
      <w:r>
        <w:rPr>
          <w:rFonts w:ascii="Arial" w:hAnsi="Arial" w:cs="Arial"/>
          <w:b/>
          <w:bCs/>
          <w:w w:val="110"/>
          <w:lang w:val="pt-BR"/>
        </w:rPr>
        <w:t>Agricultor familiar:</w:t>
      </w:r>
      <w:r>
        <w:rPr>
          <w:rFonts w:ascii="Arial" w:hAnsi="Arial" w:cs="Arial"/>
          <w:w w:val="110"/>
          <w:lang w:val="pt-BR"/>
        </w:rPr>
        <w:t xml:space="preserve"> Declaração de Aptidão ao Pronaf – DAP ou DAP-P válida, ou, ainda, outros documentos definidos pela Secretaria Especial de Agricultura Familiar e do Desenvolvimento Agrário, nos termos do</w:t>
      </w:r>
      <w:r>
        <w:fldChar w:fldCharType="begin"/>
      </w:r>
      <w:r>
        <w:instrText xml:space="preserve"> HYPERLINK "https://www.planalto.gov.br/ccivil_03/_ato2019-2022/2021/decreto/d10880.htm" \l "art4§2" </w:instrText>
      </w:r>
      <w:r>
        <w:fldChar w:fldCharType="separate"/>
      </w:r>
      <w:r>
        <w:rPr>
          <w:rStyle w:val="9"/>
          <w:rFonts w:ascii="Arial" w:hAnsi="Arial" w:cs="Arial"/>
          <w:w w:val="110"/>
          <w:lang w:val="pt-BR"/>
        </w:rPr>
        <w:t xml:space="preserve"> art. 4º, §2º do Decreto nº 10.880, de 2 de dezembro de 2021</w:t>
      </w:r>
      <w:r>
        <w:rPr>
          <w:rStyle w:val="9"/>
          <w:rFonts w:ascii="Arial" w:hAnsi="Arial" w:cs="Arial"/>
          <w:w w:val="110"/>
          <w:lang w:val="pt-BR"/>
        </w:rPr>
        <w:fldChar w:fldCharType="end"/>
      </w:r>
      <w:r>
        <w:rPr>
          <w:rFonts w:ascii="Arial" w:hAnsi="Arial" w:cs="Arial"/>
          <w:w w:val="110"/>
          <w:lang w:val="pt-BR"/>
        </w:rPr>
        <w:t>.</w:t>
      </w:r>
    </w:p>
    <w:p w14:paraId="6B46682C">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w:t>
      </w:r>
      <w:r>
        <w:rPr>
          <w:rFonts w:ascii="Arial" w:hAnsi="Arial" w:cs="Arial"/>
          <w:b/>
          <w:bCs/>
          <w:w w:val="110"/>
          <w:lang w:val="pt-BR"/>
        </w:rPr>
        <w:t>Produtor Rural:</w:t>
      </w:r>
      <w:r>
        <w:rPr>
          <w:rFonts w:ascii="Arial" w:hAnsi="Arial" w:cs="Arial"/>
          <w:w w:val="110"/>
          <w:lang w:val="pt-BR"/>
        </w:rPr>
        <w:t xml:space="preserve"> matrícula no Cadastro Específico do INSS – CEI, que comprove a qualificação como produtor rural pessoa física, nos termos da </w:t>
      </w:r>
      <w:r>
        <w:fldChar w:fldCharType="begin"/>
      </w:r>
      <w:r>
        <w:instrText xml:space="preserve"> HYPERLINK "https://www.gov.br/trabalho-e-previdencia/pt-br/servicos/empregador/programa-de-alimentacao-do-trabalhador-pat/arquivos-legislacao/instrucoes-normativas/pat_in_971_2009.pdf" </w:instrText>
      </w:r>
      <w:r>
        <w:fldChar w:fldCharType="separate"/>
      </w:r>
      <w:r>
        <w:rPr>
          <w:rStyle w:val="9"/>
          <w:rFonts w:ascii="Arial" w:hAnsi="Arial" w:cs="Arial"/>
          <w:w w:val="110"/>
          <w:lang w:val="pt-BR"/>
        </w:rPr>
        <w:t>Instrução Normativa RFB n. 971, de 13 de novembro de 2009</w:t>
      </w:r>
      <w:r>
        <w:rPr>
          <w:rStyle w:val="9"/>
          <w:rFonts w:ascii="Arial" w:hAnsi="Arial" w:cs="Arial"/>
          <w:w w:val="110"/>
          <w:lang w:val="pt-BR"/>
        </w:rPr>
        <w:fldChar w:fldCharType="end"/>
      </w:r>
      <w:r>
        <w:rPr>
          <w:rFonts w:ascii="Arial" w:hAnsi="Arial" w:cs="Arial"/>
          <w:w w:val="110"/>
          <w:lang w:val="pt-BR"/>
        </w:rPr>
        <w:t xml:space="preserve"> (arts. 17 a 19 e 165).</w:t>
      </w:r>
    </w:p>
    <w:p w14:paraId="63121E2F">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Os documentos apresentados deverão estar acompanhados de todas as alterações ou da consolidação respectiva.</w:t>
      </w:r>
    </w:p>
    <w:p w14:paraId="52B07228">
      <w:pPr>
        <w:numPr>
          <w:ilvl w:val="0"/>
          <w:numId w:val="4"/>
        </w:numPr>
        <w:tabs>
          <w:tab w:val="left" w:pos="709"/>
        </w:tabs>
        <w:spacing w:before="199" w:line="360" w:lineRule="auto"/>
        <w:ind w:left="284" w:right="747" w:firstLine="0"/>
        <w:jc w:val="both"/>
        <w:outlineLvl w:val="0"/>
        <w:rPr>
          <w:rFonts w:ascii="Arial" w:hAnsi="Arial" w:eastAsia="Gill Sans MT" w:cs="Arial"/>
          <w:b/>
          <w:bCs/>
          <w:spacing w:val="-3"/>
          <w:lang w:val="pt-BR"/>
        </w:rPr>
      </w:pPr>
      <w:bookmarkStart w:id="66" w:name="_Toc151457795"/>
      <w:bookmarkStart w:id="67" w:name="_Toc62718168"/>
      <w:r>
        <w:rPr>
          <w:rFonts w:ascii="Arial" w:hAnsi="Arial" w:eastAsia="Gill Sans MT" w:cs="Arial"/>
          <w:b/>
          <w:bCs/>
          <w:spacing w:val="-3"/>
          <w:lang w:val="pt-BR"/>
        </w:rPr>
        <w:t>REGULARIDADE FISCAL E TRABALHISTA</w:t>
      </w:r>
      <w:bookmarkEnd w:id="66"/>
      <w:bookmarkEnd w:id="67"/>
    </w:p>
    <w:p w14:paraId="11B0D941">
      <w:pPr>
        <w:numPr>
          <w:ilvl w:val="1"/>
          <w:numId w:val="4"/>
        </w:numPr>
        <w:tabs>
          <w:tab w:val="left" w:pos="851"/>
        </w:tabs>
        <w:spacing w:before="113" w:line="360" w:lineRule="auto"/>
        <w:ind w:left="284" w:right="747" w:firstLine="0"/>
        <w:jc w:val="both"/>
        <w:rPr>
          <w:rFonts w:ascii="Arial" w:hAnsi="Arial" w:cs="Arial"/>
          <w:w w:val="110"/>
          <w:lang w:val="pt-BR"/>
        </w:rPr>
      </w:pPr>
      <w:bookmarkStart w:id="68" w:name="_Toc41405920"/>
      <w:bookmarkStart w:id="69" w:name="_Toc43891520"/>
      <w:bookmarkStart w:id="70" w:name="_Hlk218601875"/>
      <w:r>
        <w:rPr>
          <w:rFonts w:ascii="Arial" w:hAnsi="Arial" w:cs="Arial"/>
          <w:w w:val="110"/>
          <w:lang w:val="pt-BR"/>
        </w:rPr>
        <w:t>- Prova de inscrição no Cadastro Nacional de Pessoas Jurídicas ou no Cadastro de Pessoas Físicas, conforme o caso;</w:t>
      </w:r>
    </w:p>
    <w:bookmarkEnd w:id="68"/>
    <w:bookmarkEnd w:id="69"/>
    <w:p w14:paraId="12A52E0A">
      <w:pPr>
        <w:numPr>
          <w:ilvl w:val="1"/>
          <w:numId w:val="4"/>
        </w:numPr>
        <w:tabs>
          <w:tab w:val="left" w:pos="851"/>
        </w:tabs>
        <w:spacing w:before="113" w:line="360" w:lineRule="auto"/>
        <w:ind w:left="284" w:right="747" w:firstLine="0"/>
        <w:contextualSpacing/>
        <w:jc w:val="both"/>
        <w:rPr>
          <w:rFonts w:ascii="Arial" w:hAnsi="Arial" w:cs="Arial"/>
          <w:w w:val="110"/>
          <w:lang w:val="pt-BR"/>
        </w:rPr>
      </w:pPr>
      <w:bookmarkStart w:id="71" w:name="_Toc43891521"/>
      <w:bookmarkStart w:id="72" w:name="_Toc41405921"/>
      <w:r>
        <w:rPr>
          <w:rFonts w:ascii="Arial" w:hAnsi="Arial" w:cs="Arial"/>
          <w:w w:val="110"/>
          <w:lang w:val="pt-BR"/>
        </w:rPr>
        <w:t xml:space="preserve">- </w:t>
      </w:r>
      <w:bookmarkEnd w:id="71"/>
      <w:bookmarkEnd w:id="72"/>
      <w:bookmarkStart w:id="73" w:name="_Toc41405922"/>
      <w:bookmarkStart w:id="74" w:name="_Toc43891522"/>
      <w:r>
        <w:rPr>
          <w:rFonts w:ascii="Arial" w:hAnsi="Arial" w:cs="Arial"/>
          <w:w w:val="110"/>
          <w:lang w:val="pt-BR"/>
        </w:rPr>
        <w:t xml:space="preserve">Prova de inscrição no cadastro de contribuintes Municipal/Distrital relativo ao domicílio ou sede do fornecedor, pertinente ao seu ramo de atividade e compatível com o objeto contratual; </w:t>
      </w:r>
    </w:p>
    <w:p w14:paraId="5B084F5F">
      <w:pPr>
        <w:numPr>
          <w:ilvl w:val="2"/>
          <w:numId w:val="4"/>
        </w:numPr>
        <w:tabs>
          <w:tab w:val="left" w:pos="1134"/>
        </w:tabs>
        <w:spacing w:before="113" w:line="360" w:lineRule="auto"/>
        <w:ind w:left="284" w:right="747" w:firstLine="0"/>
        <w:contextualSpacing/>
        <w:jc w:val="both"/>
        <w:rPr>
          <w:rFonts w:ascii="Arial" w:hAnsi="Arial" w:cs="Arial"/>
          <w:w w:val="110"/>
          <w:lang w:val="pt-BR"/>
        </w:rPr>
      </w:pPr>
      <w:r>
        <w:rPr>
          <w:rFonts w:ascii="Arial" w:hAnsi="Arial" w:cs="Arial"/>
          <w:w w:val="110"/>
          <w:lang w:val="pt-BR"/>
        </w:rPr>
        <w:t>-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52C3CD6">
      <w:pPr>
        <w:pStyle w:val="17"/>
        <w:numPr>
          <w:ilvl w:val="1"/>
          <w:numId w:val="4"/>
        </w:numPr>
        <w:tabs>
          <w:tab w:val="left" w:pos="851"/>
        </w:tabs>
        <w:spacing w:before="113" w:line="360" w:lineRule="auto"/>
        <w:ind w:left="284" w:right="747" w:firstLine="0"/>
        <w:contextualSpacing/>
        <w:rPr>
          <w:rFonts w:ascii="Arial" w:hAnsi="Arial" w:cs="Arial"/>
          <w:w w:val="110"/>
          <w:lang w:val="pt-BR"/>
        </w:rPr>
      </w:pPr>
      <w:r>
        <w:rPr>
          <w:rFonts w:ascii="Arial" w:hAnsi="Arial" w:cs="Arial"/>
          <w:w w:val="110"/>
          <w:lang w:val="pt-BR"/>
        </w:rPr>
        <w:t>Prova de regularidade para com a Fazenda Municipal, através da apresentação de Certidão de Regularidade de Tributos Municipais (ISS) expedida pela Secretaria Municipal de Fazenda, e da Certidão da Dívida Ativa Municipal comprovando a inexistência de débitos inscritos, ou outra equivalente, tal como certidão positiva com efeito de negativa, na forma da lei;</w:t>
      </w:r>
    </w:p>
    <w:p w14:paraId="4D26C8D0">
      <w:pPr>
        <w:pStyle w:val="17"/>
        <w:numPr>
          <w:ilvl w:val="1"/>
          <w:numId w:val="4"/>
        </w:numPr>
        <w:tabs>
          <w:tab w:val="left" w:pos="851"/>
        </w:tabs>
        <w:spacing w:before="113" w:line="360" w:lineRule="auto"/>
        <w:ind w:left="284" w:right="747" w:firstLine="0"/>
        <w:contextualSpacing/>
        <w:rPr>
          <w:rFonts w:ascii="Arial" w:hAnsi="Arial" w:cs="Arial"/>
          <w:w w:val="110"/>
          <w:lang w:val="pt-BR"/>
        </w:rPr>
      </w:pPr>
      <w:r>
        <w:rPr>
          <w:rFonts w:ascii="Arial" w:hAnsi="Arial" w:cs="Arial"/>
          <w:w w:val="110"/>
          <w:lang w:val="pt-BR"/>
        </w:rPr>
        <w:t>- Prova de regularidade com a Fazenda Estadual, através da apresentação de Certidão de Regularidade de Tributos Estaduais (ICMS) expedida pela Secretaria de Estado de Fazenda e da Certidão da Dívida Ativa Estadual comprovando a inexistência de débitos inscritos, ou outra(s) equivalente(s), tal (ais) como certidão (ões) positiva(s), com efeito, de negativa(s), na forma da lei;</w:t>
      </w:r>
    </w:p>
    <w:p w14:paraId="730252BD">
      <w:pPr>
        <w:pStyle w:val="17"/>
        <w:numPr>
          <w:ilvl w:val="1"/>
          <w:numId w:val="4"/>
        </w:numPr>
        <w:tabs>
          <w:tab w:val="left" w:pos="851"/>
        </w:tabs>
        <w:spacing w:before="113" w:line="360" w:lineRule="auto"/>
        <w:ind w:left="284" w:right="747" w:firstLine="0"/>
        <w:contextualSpacing/>
        <w:rPr>
          <w:rFonts w:ascii="Arial" w:hAnsi="Arial" w:cs="Arial"/>
          <w:w w:val="110"/>
          <w:lang w:val="pt-BR"/>
        </w:rPr>
      </w:pPr>
      <w:r>
        <w:rPr>
          <w:rFonts w:ascii="Arial" w:hAnsi="Arial" w:cs="Arial"/>
          <w:w w:val="110"/>
          <w:lang w:val="pt-BR"/>
        </w:rPr>
        <w:t>- Caso o fornecedor seja considerado isento dos tributos Estadual, Distrital ou Municipal  relacionados ao objeto contratual, deverá comprovar tal condição mediante a apresentação de declaração da Fazenda respectiva do seu domicílio ou sede, ou outra equivalente, na forma da lei.</w:t>
      </w:r>
    </w:p>
    <w:p w14:paraId="6BB74798">
      <w:pPr>
        <w:numPr>
          <w:ilvl w:val="1"/>
          <w:numId w:val="4"/>
        </w:numPr>
        <w:tabs>
          <w:tab w:val="left" w:pos="851"/>
        </w:tabs>
        <w:spacing w:before="113" w:line="360" w:lineRule="auto"/>
        <w:ind w:left="284" w:right="747" w:firstLine="0"/>
        <w:contextualSpacing/>
        <w:jc w:val="both"/>
        <w:rPr>
          <w:rFonts w:ascii="Arial" w:hAnsi="Arial" w:cs="Arial"/>
          <w:w w:val="110"/>
          <w:lang w:val="pt-BR"/>
        </w:rPr>
      </w:pPr>
      <w:r>
        <w:rPr>
          <w:rFonts w:ascii="Arial" w:hAnsi="Arial" w:cs="Arial"/>
          <w:w w:val="110"/>
          <w:lang w:val="pt-BR"/>
        </w:rPr>
        <w:t xml:space="preserve">- </w:t>
      </w:r>
      <w:bookmarkEnd w:id="73"/>
      <w:bookmarkEnd w:id="74"/>
      <w:r>
        <w:rPr>
          <w:rFonts w:ascii="Arial" w:hAnsi="Arial" w:cs="Arial"/>
          <w:w w:val="110"/>
          <w:lang w:val="pt-B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7759FC5">
      <w:pPr>
        <w:pStyle w:val="17"/>
        <w:numPr>
          <w:ilvl w:val="1"/>
          <w:numId w:val="4"/>
        </w:numPr>
        <w:tabs>
          <w:tab w:val="left" w:pos="851"/>
        </w:tabs>
        <w:spacing w:before="113" w:line="360" w:lineRule="auto"/>
        <w:ind w:left="284" w:right="747" w:firstLine="0"/>
        <w:contextualSpacing/>
        <w:rPr>
          <w:rFonts w:ascii="Arial" w:hAnsi="Arial" w:cs="Arial"/>
          <w:w w:val="110"/>
          <w:lang w:val="pt-BR"/>
        </w:rPr>
      </w:pPr>
      <w:bookmarkStart w:id="75" w:name="_Toc43891525"/>
      <w:bookmarkStart w:id="76" w:name="_Toc41405925"/>
      <w:r>
        <w:rPr>
          <w:rFonts w:ascii="Arial" w:hAnsi="Arial" w:cs="Arial"/>
          <w:w w:val="110"/>
          <w:lang w:val="pt-BR"/>
        </w:rPr>
        <w:t xml:space="preserve">- </w:t>
      </w:r>
      <w:bookmarkEnd w:id="75"/>
      <w:bookmarkEnd w:id="76"/>
      <w:bookmarkStart w:id="77" w:name="_Toc43891526"/>
      <w:bookmarkStart w:id="78" w:name="_Toc41405926"/>
      <w:r>
        <w:rPr>
          <w:rFonts w:ascii="Arial" w:hAnsi="Arial" w:cs="Arial"/>
          <w:w w:val="110"/>
          <w:lang w:val="pt-BR"/>
        </w:rPr>
        <w:t>Prova De Regularidade perante o Fundo de Garantia por Tempo de Serviço (FGTS), mediante apresentação do Certificado de Regularidade do FGTS – CRF, expedido pela Caixa Econômica Federal –CEF.</w:t>
      </w:r>
    </w:p>
    <w:p w14:paraId="081D2EF5">
      <w:pPr>
        <w:pStyle w:val="17"/>
        <w:numPr>
          <w:ilvl w:val="1"/>
          <w:numId w:val="4"/>
        </w:numPr>
        <w:tabs>
          <w:tab w:val="left" w:pos="851"/>
        </w:tabs>
        <w:spacing w:before="113" w:line="360" w:lineRule="auto"/>
        <w:ind w:left="284" w:right="747" w:firstLine="0"/>
        <w:contextualSpacing/>
        <w:rPr>
          <w:rFonts w:ascii="Arial" w:hAnsi="Arial" w:cs="Arial"/>
          <w:w w:val="110"/>
          <w:lang w:val="pt-BR"/>
        </w:rPr>
      </w:pPr>
      <w:r>
        <w:rPr>
          <w:rFonts w:ascii="Arial" w:hAnsi="Arial" w:cs="Arial"/>
          <w:w w:val="110"/>
          <w:lang w:val="pt-BR"/>
        </w:rPr>
        <w:t>-</w:t>
      </w:r>
      <w:bookmarkEnd w:id="77"/>
      <w:bookmarkEnd w:id="78"/>
      <w:bookmarkStart w:id="79" w:name="_Toc41405927"/>
      <w:bookmarkStart w:id="80" w:name="_Toc43891527"/>
      <w:r>
        <w:rPr>
          <w:rFonts w:ascii="Arial" w:hAnsi="Arial" w:cs="Arial"/>
          <w:w w:val="110"/>
          <w:lang w:val="pt-BR"/>
        </w:rPr>
        <w:t xml:space="preserve"> Prova de inexistência de débitos inadimplidos perante a Justiça do Trabalho, mediante a apresentação de Certidão Negativa de Débitos Trabalhistas (CNDT) ou da Certidão Positiva de Débitos Trabalhistas com os mesmos efeitos da CNDT, nos termos do Título VII-A da Consolidação das Leis do Trabalho, aprovada pelo Decreto-Lei nº 5.452, de 1º de maio de 1943.</w:t>
      </w:r>
    </w:p>
    <w:p w14:paraId="67F2DA6C">
      <w:pPr>
        <w:pStyle w:val="17"/>
        <w:numPr>
          <w:ilvl w:val="1"/>
          <w:numId w:val="4"/>
        </w:numPr>
        <w:tabs>
          <w:tab w:val="left" w:pos="851"/>
        </w:tabs>
        <w:spacing w:before="113" w:line="360" w:lineRule="auto"/>
        <w:ind w:left="284" w:right="747" w:firstLine="0"/>
        <w:contextualSpacing/>
        <w:rPr>
          <w:rFonts w:ascii="Arial" w:hAnsi="Arial" w:cs="Arial"/>
          <w:w w:val="110"/>
          <w:lang w:val="pt-BR"/>
        </w:rPr>
      </w:pPr>
      <w:r>
        <w:rPr>
          <w:rFonts w:ascii="Arial" w:hAnsi="Arial" w:cs="Arial"/>
          <w:w w:val="110"/>
          <w:lang w:val="pt-BR"/>
        </w:rPr>
        <w:t xml:space="preserve"> </w:t>
      </w:r>
      <w:bookmarkEnd w:id="79"/>
      <w:bookmarkEnd w:id="80"/>
      <w:r>
        <w:rPr>
          <w:rFonts w:ascii="Arial" w:hAnsi="Arial" w:cs="Arial"/>
          <w:w w:val="110"/>
          <w:lang w:val="pt-BR"/>
        </w:rPr>
        <w:t xml:space="preserve">- </w:t>
      </w:r>
      <w:r>
        <w:rPr>
          <w:rFonts w:ascii="Arial" w:hAnsi="Arial" w:cs="Arial"/>
          <w:b/>
          <w:bCs/>
          <w:w w:val="110"/>
          <w:lang w:val="pt-BR"/>
        </w:rPr>
        <w:t>Dos benefícios fiscais da ME´S, EPP´S e EQUIPARADAS na fase de habilitação:</w:t>
      </w:r>
    </w:p>
    <w:p w14:paraId="6AB24B1B">
      <w:pPr>
        <w:numPr>
          <w:ilvl w:val="2"/>
          <w:numId w:val="4"/>
        </w:numPr>
        <w:tabs>
          <w:tab w:val="left" w:pos="993"/>
        </w:tabs>
        <w:spacing w:before="113" w:line="360" w:lineRule="auto"/>
        <w:ind w:left="284" w:right="747" w:firstLine="0"/>
        <w:jc w:val="both"/>
        <w:rPr>
          <w:rFonts w:ascii="Arial" w:hAnsi="Arial" w:cs="Arial"/>
          <w:w w:val="110"/>
          <w:lang w:val="pt-BR"/>
        </w:rPr>
      </w:pPr>
      <w:bookmarkStart w:id="81" w:name="_Toc41405928"/>
      <w:bookmarkStart w:id="82" w:name="_Toc43891528"/>
      <w:r>
        <w:rPr>
          <w:rFonts w:ascii="Arial" w:hAnsi="Arial" w:cs="Arial"/>
          <w:w w:val="110"/>
          <w:lang w:val="pt-BR"/>
        </w:rPr>
        <w:t xml:space="preserve"> -  A comprovação de regularidade fiscal das microempresas e empresas de pequeno porte somente será exigida para efeito de assinatura do contrato ou retirada de nota de empenho, no entanto, por ocasião da participação neste certame licitatório, </w:t>
      </w:r>
      <w:r>
        <w:rPr>
          <w:rFonts w:ascii="Arial" w:hAnsi="Arial" w:cs="Arial"/>
          <w:b/>
          <w:bCs/>
          <w:w w:val="110"/>
          <w:u w:val="single"/>
          <w:lang w:val="pt-BR"/>
        </w:rPr>
        <w:t>deverão</w:t>
      </w:r>
      <w:r>
        <w:rPr>
          <w:rFonts w:ascii="Arial" w:hAnsi="Arial" w:cs="Arial"/>
          <w:w w:val="110"/>
          <w:lang w:val="pt-BR"/>
        </w:rPr>
        <w:t xml:space="preserve"> apresentar toda a documentação exigida para tanto, mesmo que esta apresente alguma restrição;</w:t>
      </w:r>
      <w:bookmarkEnd w:id="81"/>
      <w:bookmarkEnd w:id="82"/>
    </w:p>
    <w:p w14:paraId="54F83DE6">
      <w:pPr>
        <w:numPr>
          <w:ilvl w:val="2"/>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w:t>
      </w:r>
      <w:bookmarkStart w:id="83" w:name="_Toc43891529"/>
      <w:bookmarkStart w:id="84" w:name="_Toc41405929"/>
      <w:r>
        <w:rPr>
          <w:rFonts w:ascii="Arial" w:hAnsi="Arial" w:cs="Arial"/>
          <w:w w:val="110"/>
          <w:lang w:val="pt-BR"/>
        </w:rPr>
        <w:t>- Havendo alguma restrição na comprovação da regularidade fiscal exigida neste edital, será assegurado à microempresa ou empresa de pequeno porte que apresentou o menor preço no certame o prazo de 5 (cinco) dias úteis, contados do momento em que for declarada a vencedora, prorrogáveis por igual período, a critério da Administração Municipal, para a regularização da documentação, pagamento ou parcelamento do débito, e emissão de eventuais certidões negativas ou positivas com efeito de certidão negativa;</w:t>
      </w:r>
      <w:bookmarkEnd w:id="83"/>
      <w:bookmarkEnd w:id="84"/>
    </w:p>
    <w:p w14:paraId="6100938C">
      <w:pPr>
        <w:numPr>
          <w:ilvl w:val="2"/>
          <w:numId w:val="4"/>
        </w:numPr>
        <w:tabs>
          <w:tab w:val="left" w:pos="1134"/>
        </w:tabs>
        <w:spacing w:before="113" w:line="360" w:lineRule="auto"/>
        <w:ind w:left="284" w:right="747" w:firstLine="0"/>
        <w:jc w:val="both"/>
        <w:rPr>
          <w:rFonts w:ascii="Arial" w:hAnsi="Arial" w:cs="Arial"/>
          <w:w w:val="110"/>
          <w:lang w:val="pt-BR"/>
        </w:rPr>
      </w:pPr>
      <w:bookmarkStart w:id="85" w:name="_Toc41405930"/>
      <w:bookmarkStart w:id="86" w:name="_Toc43891530"/>
      <w:r>
        <w:rPr>
          <w:rFonts w:ascii="Arial" w:hAnsi="Arial" w:cs="Arial"/>
          <w:w w:val="110"/>
          <w:lang w:val="pt-BR"/>
        </w:rPr>
        <w:t>- Falta de regularização da documentação no prazo estabelecido neste edital implicará a decadência do direito à contratação e a aplicação de sanção administrativa, conforme previsto neste edital e na Lei 14.133/2021, sendo facultado à Administração convocar as licitantes remanescentes para celebrar a contratação, na ordem de classificação, cancelar o item ou revogar a licitação.</w:t>
      </w:r>
      <w:bookmarkEnd w:id="85"/>
      <w:bookmarkEnd w:id="86"/>
    </w:p>
    <w:bookmarkEnd w:id="70"/>
    <w:p w14:paraId="0043465E">
      <w:pPr>
        <w:pStyle w:val="2"/>
        <w:numPr>
          <w:ilvl w:val="0"/>
          <w:numId w:val="4"/>
        </w:numPr>
        <w:tabs>
          <w:tab w:val="left" w:pos="709"/>
        </w:tabs>
        <w:spacing w:before="199" w:line="360" w:lineRule="auto"/>
        <w:ind w:left="284" w:right="747" w:firstLine="0"/>
        <w:jc w:val="both"/>
        <w:rPr>
          <w:rFonts w:ascii="Arial" w:hAnsi="Arial" w:cs="Arial"/>
          <w:spacing w:val="-3"/>
          <w:lang w:val="pt-BR"/>
        </w:rPr>
      </w:pPr>
      <w:bookmarkStart w:id="87" w:name="_Toc64470694"/>
      <w:bookmarkStart w:id="88" w:name="_Toc62718170"/>
      <w:r>
        <w:rPr>
          <w:rFonts w:ascii="Arial" w:hAnsi="Arial" w:cs="Arial"/>
          <w:spacing w:val="-3"/>
          <w:lang w:val="pt-BR"/>
        </w:rPr>
        <w:t xml:space="preserve"> </w:t>
      </w:r>
      <w:bookmarkStart w:id="89" w:name="_Toc151457796"/>
      <w:bookmarkStart w:id="90" w:name="_Hlk65696427"/>
      <w:r>
        <w:rPr>
          <w:rFonts w:ascii="Arial" w:hAnsi="Arial" w:cs="Arial"/>
          <w:spacing w:val="-3"/>
          <w:lang w:val="pt-BR"/>
        </w:rPr>
        <w:t>DA QUALIFICAÇÃO ECONÔMICO-FINANCEIRA</w:t>
      </w:r>
      <w:bookmarkEnd w:id="87"/>
      <w:bookmarkEnd w:id="89"/>
      <w:r>
        <w:rPr>
          <w:rFonts w:ascii="Arial" w:hAnsi="Arial" w:cs="Arial"/>
          <w:spacing w:val="-3"/>
          <w:lang w:val="pt-BR"/>
        </w:rPr>
        <w:t xml:space="preserve"> </w:t>
      </w:r>
    </w:p>
    <w:p w14:paraId="4DE41D0E">
      <w:pPr>
        <w:pStyle w:val="17"/>
        <w:numPr>
          <w:ilvl w:val="1"/>
          <w:numId w:val="4"/>
        </w:numPr>
        <w:tabs>
          <w:tab w:val="left" w:pos="851"/>
        </w:tabs>
        <w:spacing w:before="113" w:line="360" w:lineRule="auto"/>
        <w:ind w:left="284" w:right="747" w:firstLine="0"/>
        <w:contextualSpacing/>
        <w:rPr>
          <w:rFonts w:ascii="Arial" w:hAnsi="Arial" w:cs="Arial"/>
          <w:w w:val="110"/>
          <w:lang w:val="pt-BR"/>
        </w:rPr>
      </w:pPr>
      <w:bookmarkStart w:id="91" w:name="_Hlk218602038"/>
      <w:r>
        <w:rPr>
          <w:rFonts w:ascii="Arial" w:hAnsi="Arial" w:cs="Arial"/>
          <w:w w:val="110"/>
          <w:lang w:val="pt-BR"/>
        </w:rPr>
        <w:t xml:space="preserve">- </w:t>
      </w:r>
      <w:r>
        <w:rPr>
          <w:rFonts w:ascii="Arial" w:hAnsi="Arial" w:cs="Arial"/>
          <w:b/>
          <w:bCs/>
          <w:w w:val="110"/>
          <w:lang w:val="pt-BR"/>
        </w:rPr>
        <w:t>Certidão negativa de insolvência civil</w:t>
      </w:r>
      <w:r>
        <w:rPr>
          <w:rFonts w:ascii="Arial" w:hAnsi="Arial" w:cs="Arial"/>
          <w:w w:val="110"/>
          <w:lang w:val="pt-BR"/>
        </w:rPr>
        <w:t xml:space="preserve"> expedida pelo distribuidor do domicílio ou sede do licitante, caso se trate de pessoa física, desde que admitida a sua participação na licitação (</w:t>
      </w:r>
      <w:r>
        <w:fldChar w:fldCharType="begin"/>
      </w:r>
      <w:r>
        <w:instrText xml:space="preserve"> HYPERLINK "https://www.gov.br/compras/pt-br/acesso-a-informacao/legislacao/instrucoes-normativas/instrucao-normativa-seges-me-no-116-de-21-de-dezembro-de-2021" \l "art5" \h </w:instrText>
      </w:r>
      <w:r>
        <w:fldChar w:fldCharType="separate"/>
      </w:r>
      <w:r>
        <w:rPr>
          <w:rStyle w:val="9"/>
          <w:rFonts w:ascii="Arial" w:hAnsi="Arial" w:cs="Arial"/>
          <w:w w:val="110"/>
          <w:lang w:val="pt-BR"/>
        </w:rPr>
        <w:t>art. 5º, inciso II, alínea “c”, da Instrução Normativa Seges/ME nº 116, de 2021</w:t>
      </w:r>
      <w:r>
        <w:rPr>
          <w:rStyle w:val="9"/>
          <w:rFonts w:ascii="Arial" w:hAnsi="Arial" w:cs="Arial"/>
          <w:w w:val="110"/>
          <w:lang w:val="pt-BR"/>
        </w:rPr>
        <w:fldChar w:fldCharType="end"/>
      </w:r>
      <w:r>
        <w:rPr>
          <w:rFonts w:ascii="Arial" w:hAnsi="Arial" w:cs="Arial"/>
          <w:w w:val="110"/>
          <w:lang w:val="pt-BR"/>
        </w:rPr>
        <w:t xml:space="preserve">), ou de sociedade simples; </w:t>
      </w:r>
    </w:p>
    <w:p w14:paraId="2352F090">
      <w:pPr>
        <w:pStyle w:val="17"/>
        <w:numPr>
          <w:ilvl w:val="1"/>
          <w:numId w:val="4"/>
        </w:numPr>
        <w:tabs>
          <w:tab w:val="left" w:pos="851"/>
        </w:tabs>
        <w:spacing w:before="113" w:line="360" w:lineRule="auto"/>
        <w:ind w:left="284" w:right="747" w:firstLine="0"/>
        <w:contextualSpacing/>
        <w:rPr>
          <w:rFonts w:ascii="Arial" w:hAnsi="Arial" w:cs="Arial"/>
          <w:w w:val="110"/>
          <w:lang w:val="pt-BR"/>
        </w:rPr>
      </w:pPr>
      <w:r>
        <w:rPr>
          <w:rFonts w:ascii="Arial" w:hAnsi="Arial" w:cs="Arial"/>
          <w:w w:val="110"/>
          <w:lang w:val="pt-BR"/>
        </w:rPr>
        <w:t xml:space="preserve">- </w:t>
      </w:r>
      <w:r>
        <w:rPr>
          <w:rFonts w:ascii="Arial" w:hAnsi="Arial" w:cs="Arial"/>
          <w:b/>
          <w:bCs/>
          <w:w w:val="110"/>
          <w:lang w:val="pt-BR"/>
        </w:rPr>
        <w:t xml:space="preserve">Certidão negativa de falência, </w:t>
      </w:r>
      <w:r>
        <w:rPr>
          <w:rFonts w:ascii="Arial" w:hAnsi="Arial" w:cs="Arial"/>
          <w:w w:val="110"/>
          <w:lang w:val="pt-BR"/>
        </w:rPr>
        <w:t xml:space="preserve">expedida pelo distribuidor </w:t>
      </w:r>
      <w:r>
        <w:rPr>
          <w:rFonts w:ascii="Arial" w:hAnsi="Arial" w:cs="Arial"/>
          <w:b/>
          <w:bCs/>
          <w:w w:val="110"/>
          <w:lang w:val="pt-BR"/>
        </w:rPr>
        <w:t>da sede do fornecedor,</w:t>
      </w:r>
      <w:r>
        <w:rPr>
          <w:rFonts w:ascii="Arial" w:hAnsi="Arial" w:cs="Arial"/>
          <w:w w:val="110"/>
          <w:lang w:val="pt-BR"/>
        </w:rPr>
        <w:t xml:space="preserve"> há menos de 90 (noventa) dias da data da  licitação, exceto quando dela constar o prazo de validade.</w:t>
      </w:r>
      <w:r>
        <w:rPr>
          <w:rFonts w:ascii="Arial" w:hAnsi="Arial" w:cs="Arial" w:eastAsiaTheme="minorEastAsia"/>
          <w:color w:val="000000"/>
          <w:sz w:val="20"/>
          <w:szCs w:val="20"/>
          <w:lang w:val="pt-BR" w:eastAsia="pt-BR" w:bidi="ar-SA"/>
        </w:rPr>
        <w:t xml:space="preserve"> </w:t>
      </w:r>
      <w:r>
        <w:rPr>
          <w:rFonts w:ascii="Arial" w:hAnsi="Arial" w:cs="Arial"/>
          <w:w w:val="110"/>
          <w:lang w:val="pt-BR"/>
        </w:rPr>
        <w:t xml:space="preserve">- </w:t>
      </w:r>
      <w:r>
        <w:fldChar w:fldCharType="begin"/>
      </w:r>
      <w:r>
        <w:instrText xml:space="preserve"> HYPERLINK "http://www.planalto.gov.br/ccivil_03/_ato2019-2022/2021/lei/L14133.htm" \l "art69" </w:instrText>
      </w:r>
      <w:r>
        <w:fldChar w:fldCharType="separate"/>
      </w:r>
      <w:r>
        <w:rPr>
          <w:rStyle w:val="9"/>
          <w:rFonts w:ascii="Arial" w:hAnsi="Arial" w:cs="Arial"/>
          <w:w w:val="110"/>
          <w:lang w:val="pt-BR"/>
        </w:rPr>
        <w:t>Lei nº 14.133, de 2021, art. 69, caput, inciso II</w:t>
      </w:r>
      <w:r>
        <w:rPr>
          <w:rStyle w:val="9"/>
          <w:rFonts w:ascii="Arial" w:hAnsi="Arial" w:cs="Arial"/>
          <w:w w:val="110"/>
          <w:lang w:val="pt-BR"/>
        </w:rPr>
        <w:fldChar w:fldCharType="end"/>
      </w:r>
      <w:r>
        <w:rPr>
          <w:rFonts w:ascii="Arial" w:hAnsi="Arial" w:cs="Arial"/>
          <w:w w:val="110"/>
          <w:lang w:val="pt-BR"/>
        </w:rPr>
        <w:t>);</w:t>
      </w:r>
    </w:p>
    <w:p w14:paraId="6B92A1BB">
      <w:pPr>
        <w:pStyle w:val="17"/>
        <w:numPr>
          <w:ilvl w:val="2"/>
          <w:numId w:val="4"/>
        </w:numPr>
        <w:tabs>
          <w:tab w:val="left" w:pos="993"/>
        </w:tabs>
        <w:spacing w:before="113" w:line="360" w:lineRule="auto"/>
        <w:ind w:left="284" w:right="747" w:firstLine="0"/>
        <w:contextualSpacing/>
        <w:rPr>
          <w:rFonts w:ascii="Arial" w:hAnsi="Arial" w:cs="Arial"/>
          <w:w w:val="110"/>
          <w:lang w:val="pt-BR"/>
        </w:rPr>
      </w:pPr>
      <w:r>
        <w:rPr>
          <w:rFonts w:ascii="Arial" w:hAnsi="Arial" w:cs="Arial"/>
          <w:w w:val="110"/>
          <w:lang w:val="pt-BR"/>
        </w:rPr>
        <w:t>- Para a licitante sediada na Cidade de Nova Friburgo, esta prova será feita mediante apresentação de certidão emitida pelo único Distribuidor Oficializado desta Comarca.</w:t>
      </w:r>
    </w:p>
    <w:p w14:paraId="590CE8C4">
      <w:pPr>
        <w:pStyle w:val="17"/>
        <w:numPr>
          <w:ilvl w:val="3"/>
          <w:numId w:val="4"/>
        </w:numPr>
        <w:tabs>
          <w:tab w:val="left" w:pos="993"/>
        </w:tabs>
        <w:spacing w:before="113" w:line="360" w:lineRule="auto"/>
        <w:ind w:left="284" w:right="747" w:firstLine="0"/>
        <w:contextualSpacing/>
        <w:rPr>
          <w:rFonts w:ascii="Arial" w:hAnsi="Arial" w:cs="Arial"/>
          <w:w w:val="110"/>
          <w:lang w:val="pt-BR"/>
        </w:rPr>
      </w:pPr>
      <w:r>
        <w:rPr>
          <w:rFonts w:ascii="Arial" w:hAnsi="Arial" w:cs="Arial"/>
          <w:w w:val="110"/>
          <w:lang w:val="pt-BR"/>
        </w:rPr>
        <w:t xml:space="preserve">- A licitante, sediada em outra comarca ou estado da federação, </w:t>
      </w:r>
      <w:r>
        <w:rPr>
          <w:rFonts w:ascii="Arial" w:hAnsi="Arial" w:cs="Arial"/>
          <w:b/>
          <w:bCs/>
          <w:w w:val="110"/>
          <w:u w:val="single"/>
          <w:lang w:val="pt-BR"/>
        </w:rPr>
        <w:t xml:space="preserve">poderão </w:t>
      </w:r>
      <w:r>
        <w:rPr>
          <w:rFonts w:ascii="Arial" w:hAnsi="Arial" w:cs="Arial"/>
          <w:w w:val="110"/>
          <w:lang w:val="pt-BR"/>
        </w:rPr>
        <w:t>apresentar, juntamente com as certidões exigidas, declaração passada pelo foro de sua sede ou qualquer outro documento idôneo que indique os cartórios ou ofícios de registro que controlam a distribuição dos pedidos de falências e concordatas. A declaração poderá ser solicitada como documento complementar pelo pregoeiro.</w:t>
      </w:r>
    </w:p>
    <w:p w14:paraId="64147BE5">
      <w:pPr>
        <w:pStyle w:val="17"/>
        <w:numPr>
          <w:ilvl w:val="2"/>
          <w:numId w:val="4"/>
        </w:numPr>
        <w:tabs>
          <w:tab w:val="left" w:pos="993"/>
        </w:tabs>
        <w:spacing w:before="113" w:line="360" w:lineRule="auto"/>
        <w:ind w:left="284" w:right="747" w:firstLine="0"/>
        <w:contextualSpacing/>
        <w:rPr>
          <w:rFonts w:ascii="Arial" w:hAnsi="Arial" w:cs="Arial"/>
          <w:w w:val="110"/>
          <w:lang w:val="pt-BR"/>
        </w:rPr>
      </w:pPr>
      <w:r>
        <w:rPr>
          <w:rFonts w:ascii="Arial" w:hAnsi="Arial" w:cs="Arial"/>
          <w:w w:val="110"/>
          <w:lang w:val="pt-BR"/>
        </w:rPr>
        <w:t xml:space="preserve">- No caso de as certidões apontarem a existência de algum fato ou processo relativo à solicitação de falência ou recuperação judicial, a empresa deverá apresentar a certidão emitida pelo foro competente, informando em que fase se encontra o feito  em juízo. </w:t>
      </w:r>
    </w:p>
    <w:p w14:paraId="00E1DF94">
      <w:pPr>
        <w:pStyle w:val="17"/>
        <w:numPr>
          <w:ilvl w:val="1"/>
          <w:numId w:val="4"/>
        </w:numPr>
        <w:tabs>
          <w:tab w:val="left" w:pos="851"/>
        </w:tabs>
        <w:spacing w:before="113" w:line="360" w:lineRule="auto"/>
        <w:ind w:left="284" w:right="747" w:firstLine="0"/>
        <w:contextualSpacing/>
        <w:rPr>
          <w:rFonts w:ascii="Arial" w:hAnsi="Arial" w:cs="Arial"/>
          <w:w w:val="110"/>
          <w:lang w:val="pt-BR"/>
        </w:rPr>
      </w:pPr>
      <w:r>
        <w:rPr>
          <w:rFonts w:ascii="Arial" w:hAnsi="Arial" w:cs="Arial"/>
          <w:w w:val="110"/>
          <w:lang w:val="pt-BR"/>
        </w:rPr>
        <w:t xml:space="preserve"> - Não será causa de inabilitação do licitante a anotação de distribuição de processo de recuperação judicial ou de pedido de homologação de recuperação extrajudicial, caso seja comprovado, no momento da entrega da documentação exigida no presente item, que o plano de recuperação já foi aprovado ou homologado pelo Juízo competente.</w:t>
      </w:r>
    </w:p>
    <w:p w14:paraId="6539CBC4">
      <w:pPr>
        <w:pStyle w:val="17"/>
        <w:numPr>
          <w:ilvl w:val="1"/>
          <w:numId w:val="4"/>
        </w:numPr>
        <w:tabs>
          <w:tab w:val="left" w:pos="851"/>
        </w:tabs>
        <w:spacing w:before="113" w:line="360" w:lineRule="auto"/>
        <w:ind w:left="284" w:right="747" w:firstLine="0"/>
        <w:contextualSpacing/>
        <w:rPr>
          <w:rFonts w:ascii="Arial" w:hAnsi="Arial" w:cs="Arial"/>
          <w:w w:val="110"/>
          <w:lang w:val="pt-BR"/>
        </w:rPr>
      </w:pPr>
      <w:r>
        <w:rPr>
          <w:rFonts w:ascii="Arial" w:hAnsi="Arial" w:cs="Arial"/>
          <w:w w:val="110"/>
          <w:lang w:val="pt-BR"/>
        </w:rPr>
        <w:t>- Balanço patrimonial, demonstração de resultado de exercício e demais demonstrações contábeis dos 2 (dois) últimos exercícios sociais, comprovando;</w:t>
      </w:r>
    </w:p>
    <w:p w14:paraId="3908EE22">
      <w:pPr>
        <w:pStyle w:val="17"/>
        <w:numPr>
          <w:ilvl w:val="2"/>
          <w:numId w:val="4"/>
        </w:numPr>
        <w:tabs>
          <w:tab w:val="left" w:pos="993"/>
        </w:tabs>
        <w:spacing w:before="113" w:line="360" w:lineRule="auto"/>
        <w:ind w:left="284" w:right="747" w:firstLine="0"/>
        <w:contextualSpacing/>
        <w:rPr>
          <w:rFonts w:ascii="Arial" w:hAnsi="Arial" w:cs="Arial"/>
          <w:w w:val="110"/>
          <w:lang w:val="pt-BR"/>
        </w:rPr>
      </w:pPr>
      <w:r>
        <w:rPr>
          <w:rFonts w:ascii="Arial" w:hAnsi="Arial" w:cs="Arial"/>
          <w:w w:val="110"/>
          <w:lang w:val="pt-BR"/>
        </w:rPr>
        <w:t xml:space="preserve"> - Índices de Liquidez Geral (LG), Solvência Geral (SG) e Liquidez Corrente (LC), superiores a 1 (um), obtidos pela aplicação das seguintes fórmulas:</w:t>
      </w:r>
    </w:p>
    <w:p w14:paraId="16DE9B0F">
      <w:pPr>
        <w:pStyle w:val="17"/>
        <w:tabs>
          <w:tab w:val="left" w:pos="851"/>
        </w:tabs>
        <w:spacing w:before="113" w:line="360" w:lineRule="auto"/>
        <w:ind w:left="284" w:right="747"/>
        <w:contextualSpacing/>
        <w:rPr>
          <w:rFonts w:ascii="Arial" w:hAnsi="Arial" w:cs="Arial"/>
          <w:w w:val="110"/>
          <w:lang w:val="pt-BR"/>
        </w:rPr>
      </w:pPr>
    </w:p>
    <w:tbl>
      <w:tblPr>
        <w:tblStyle w:val="6"/>
        <w:tblW w:w="0" w:type="auto"/>
        <w:tblInd w:w="1134" w:type="dxa"/>
        <w:tblLayout w:type="autofit"/>
        <w:tblCellMar>
          <w:top w:w="0" w:type="dxa"/>
          <w:left w:w="108" w:type="dxa"/>
          <w:bottom w:w="0" w:type="dxa"/>
          <w:right w:w="108" w:type="dxa"/>
        </w:tblCellMar>
      </w:tblPr>
      <w:tblGrid>
        <w:gridCol w:w="2235"/>
        <w:gridCol w:w="4252"/>
      </w:tblGrid>
      <w:tr w14:paraId="64144DF2">
        <w:tblPrEx>
          <w:tblCellMar>
            <w:top w:w="0" w:type="dxa"/>
            <w:left w:w="108" w:type="dxa"/>
            <w:bottom w:w="0" w:type="dxa"/>
            <w:right w:w="108" w:type="dxa"/>
          </w:tblCellMar>
        </w:tblPrEx>
        <w:tc>
          <w:tcPr>
            <w:tcW w:w="2235" w:type="dxa"/>
            <w:vMerge w:val="restart"/>
            <w:shd w:val="clear" w:color="auto" w:fill="auto"/>
            <w:vAlign w:val="center"/>
          </w:tcPr>
          <w:p w14:paraId="41F250A4">
            <w:pPr>
              <w:tabs>
                <w:tab w:val="left" w:pos="1440"/>
              </w:tabs>
              <w:snapToGrid w:val="0"/>
              <w:rPr>
                <w:rFonts w:ascii="Arial" w:hAnsi="Arial" w:cs="Arial"/>
                <w:lang w:val="pt-BR"/>
              </w:rPr>
            </w:pPr>
            <w:r>
              <w:rPr>
                <w:rFonts w:ascii="Arial" w:hAnsi="Arial" w:cs="Arial"/>
                <w:lang w:val="pt-BR"/>
              </w:rPr>
              <w:t>LG =</w:t>
            </w:r>
          </w:p>
        </w:tc>
        <w:tc>
          <w:tcPr>
            <w:tcW w:w="4252" w:type="dxa"/>
            <w:tcBorders>
              <w:bottom w:val="single" w:color="auto" w:sz="4" w:space="0"/>
            </w:tcBorders>
            <w:shd w:val="clear" w:color="auto" w:fill="auto"/>
            <w:vAlign w:val="bottom"/>
          </w:tcPr>
          <w:p w14:paraId="080C89EF">
            <w:pPr>
              <w:tabs>
                <w:tab w:val="left" w:pos="1440"/>
              </w:tabs>
              <w:snapToGrid w:val="0"/>
              <w:rPr>
                <w:rFonts w:ascii="Arial" w:hAnsi="Arial" w:cs="Arial"/>
                <w:lang w:val="pt-BR"/>
              </w:rPr>
            </w:pPr>
            <w:r>
              <w:rPr>
                <w:rFonts w:ascii="Arial" w:hAnsi="Arial" w:cs="Arial"/>
                <w:lang w:val="pt-BR"/>
              </w:rPr>
              <w:t>Ativo Circulante + Realizável a Longo Prazo</w:t>
            </w:r>
          </w:p>
        </w:tc>
      </w:tr>
      <w:tr w14:paraId="76C93EBF">
        <w:tblPrEx>
          <w:tblCellMar>
            <w:top w:w="0" w:type="dxa"/>
            <w:left w:w="108" w:type="dxa"/>
            <w:bottom w:w="0" w:type="dxa"/>
            <w:right w:w="108" w:type="dxa"/>
          </w:tblCellMar>
        </w:tblPrEx>
        <w:trPr>
          <w:trHeight w:val="345" w:hRule="atLeast"/>
        </w:trPr>
        <w:tc>
          <w:tcPr>
            <w:tcW w:w="2235" w:type="dxa"/>
            <w:vMerge w:val="continue"/>
            <w:shd w:val="clear" w:color="auto" w:fill="auto"/>
          </w:tcPr>
          <w:p w14:paraId="79FF18A0">
            <w:pPr>
              <w:tabs>
                <w:tab w:val="left" w:pos="1440"/>
              </w:tabs>
              <w:snapToGrid w:val="0"/>
              <w:rPr>
                <w:rFonts w:ascii="Arial" w:hAnsi="Arial" w:cs="Arial"/>
                <w:lang w:val="pt-BR"/>
              </w:rPr>
            </w:pPr>
          </w:p>
        </w:tc>
        <w:tc>
          <w:tcPr>
            <w:tcW w:w="4252" w:type="dxa"/>
            <w:tcBorders>
              <w:top w:val="single" w:color="auto" w:sz="4" w:space="0"/>
            </w:tcBorders>
            <w:shd w:val="clear" w:color="auto" w:fill="auto"/>
          </w:tcPr>
          <w:p w14:paraId="4A60988D">
            <w:pPr>
              <w:tabs>
                <w:tab w:val="left" w:pos="1440"/>
              </w:tabs>
              <w:snapToGrid w:val="0"/>
              <w:rPr>
                <w:rFonts w:ascii="Arial" w:hAnsi="Arial" w:cs="Arial"/>
                <w:lang w:val="pt-BR"/>
              </w:rPr>
            </w:pPr>
            <w:r>
              <w:rPr>
                <w:rFonts w:ascii="Arial" w:hAnsi="Arial" w:cs="Arial"/>
                <w:lang w:val="pt-BR"/>
              </w:rPr>
              <w:t>Passivo Circulante + Passivo Não Circulante</w:t>
            </w:r>
          </w:p>
        </w:tc>
      </w:tr>
    </w:tbl>
    <w:p w14:paraId="21792A50">
      <w:pPr>
        <w:tabs>
          <w:tab w:val="left" w:pos="1440"/>
        </w:tabs>
        <w:snapToGrid w:val="0"/>
        <w:ind w:left="1134"/>
        <w:rPr>
          <w:rFonts w:ascii="Arial" w:hAnsi="Arial" w:cs="Arial"/>
          <w:lang w:val="pt-BR"/>
        </w:rPr>
      </w:pPr>
    </w:p>
    <w:tbl>
      <w:tblPr>
        <w:tblStyle w:val="6"/>
        <w:tblW w:w="0" w:type="auto"/>
        <w:tblInd w:w="1134" w:type="dxa"/>
        <w:tblLayout w:type="autofit"/>
        <w:tblCellMar>
          <w:top w:w="0" w:type="dxa"/>
          <w:left w:w="108" w:type="dxa"/>
          <w:bottom w:w="0" w:type="dxa"/>
          <w:right w:w="108" w:type="dxa"/>
        </w:tblCellMar>
      </w:tblPr>
      <w:tblGrid>
        <w:gridCol w:w="2235"/>
        <w:gridCol w:w="4394"/>
      </w:tblGrid>
      <w:tr w14:paraId="5EB2801A">
        <w:tblPrEx>
          <w:tblCellMar>
            <w:top w:w="0" w:type="dxa"/>
            <w:left w:w="108" w:type="dxa"/>
            <w:bottom w:w="0" w:type="dxa"/>
            <w:right w:w="108" w:type="dxa"/>
          </w:tblCellMar>
        </w:tblPrEx>
        <w:tc>
          <w:tcPr>
            <w:tcW w:w="2235" w:type="dxa"/>
            <w:vMerge w:val="restart"/>
            <w:shd w:val="clear" w:color="auto" w:fill="auto"/>
            <w:vAlign w:val="center"/>
          </w:tcPr>
          <w:p w14:paraId="4058FB88">
            <w:pPr>
              <w:tabs>
                <w:tab w:val="left" w:pos="1440"/>
              </w:tabs>
              <w:snapToGrid w:val="0"/>
              <w:rPr>
                <w:rFonts w:ascii="Arial" w:hAnsi="Arial" w:cs="Arial"/>
                <w:lang w:val="pt-BR"/>
              </w:rPr>
            </w:pPr>
            <w:r>
              <w:rPr>
                <w:rFonts w:ascii="Arial" w:hAnsi="Arial" w:cs="Arial"/>
                <w:lang w:val="pt-BR"/>
              </w:rPr>
              <w:t>SG =</w:t>
            </w:r>
          </w:p>
        </w:tc>
        <w:tc>
          <w:tcPr>
            <w:tcW w:w="4394" w:type="dxa"/>
            <w:tcBorders>
              <w:bottom w:val="single" w:color="auto" w:sz="4" w:space="0"/>
            </w:tcBorders>
            <w:shd w:val="clear" w:color="auto" w:fill="auto"/>
            <w:vAlign w:val="bottom"/>
          </w:tcPr>
          <w:p w14:paraId="30B65A49">
            <w:pPr>
              <w:tabs>
                <w:tab w:val="left" w:pos="1440"/>
              </w:tabs>
              <w:snapToGrid w:val="0"/>
              <w:rPr>
                <w:rFonts w:ascii="Arial" w:hAnsi="Arial" w:cs="Arial"/>
                <w:lang w:val="pt-BR"/>
              </w:rPr>
            </w:pPr>
            <w:r>
              <w:rPr>
                <w:rFonts w:ascii="Arial" w:hAnsi="Arial" w:cs="Arial"/>
                <w:lang w:val="pt-BR"/>
              </w:rPr>
              <w:t>Ativo Total</w:t>
            </w:r>
          </w:p>
        </w:tc>
      </w:tr>
      <w:tr w14:paraId="158D338A">
        <w:tblPrEx>
          <w:tblCellMar>
            <w:top w:w="0" w:type="dxa"/>
            <w:left w:w="108" w:type="dxa"/>
            <w:bottom w:w="0" w:type="dxa"/>
            <w:right w:w="108" w:type="dxa"/>
          </w:tblCellMar>
        </w:tblPrEx>
        <w:tc>
          <w:tcPr>
            <w:tcW w:w="2235" w:type="dxa"/>
            <w:vMerge w:val="continue"/>
            <w:shd w:val="clear" w:color="auto" w:fill="auto"/>
          </w:tcPr>
          <w:p w14:paraId="00E960A2">
            <w:pPr>
              <w:tabs>
                <w:tab w:val="left" w:pos="1440"/>
              </w:tabs>
              <w:snapToGrid w:val="0"/>
              <w:rPr>
                <w:rFonts w:ascii="Arial" w:hAnsi="Arial" w:cs="Arial"/>
                <w:lang w:val="pt-BR"/>
              </w:rPr>
            </w:pPr>
          </w:p>
        </w:tc>
        <w:tc>
          <w:tcPr>
            <w:tcW w:w="4394" w:type="dxa"/>
            <w:tcBorders>
              <w:top w:val="single" w:color="auto" w:sz="4" w:space="0"/>
            </w:tcBorders>
            <w:shd w:val="clear" w:color="auto" w:fill="auto"/>
          </w:tcPr>
          <w:p w14:paraId="142CCBA5">
            <w:pPr>
              <w:tabs>
                <w:tab w:val="left" w:pos="1440"/>
              </w:tabs>
              <w:snapToGrid w:val="0"/>
              <w:rPr>
                <w:rFonts w:ascii="Arial" w:hAnsi="Arial" w:cs="Arial"/>
                <w:lang w:val="pt-BR"/>
              </w:rPr>
            </w:pPr>
            <w:r>
              <w:rPr>
                <w:rFonts w:ascii="Arial" w:hAnsi="Arial" w:cs="Arial"/>
                <w:lang w:val="pt-BR"/>
              </w:rPr>
              <w:t>Passivo Circulante + Passivo Não Circulante</w:t>
            </w:r>
          </w:p>
        </w:tc>
      </w:tr>
    </w:tbl>
    <w:p w14:paraId="64FEF5C2">
      <w:pPr>
        <w:tabs>
          <w:tab w:val="left" w:pos="1440"/>
        </w:tabs>
        <w:snapToGrid w:val="0"/>
        <w:ind w:left="1134"/>
        <w:rPr>
          <w:rFonts w:ascii="Arial" w:hAnsi="Arial" w:cs="Arial"/>
          <w:lang w:val="pt-BR"/>
        </w:rPr>
      </w:pPr>
    </w:p>
    <w:tbl>
      <w:tblPr>
        <w:tblStyle w:val="6"/>
        <w:tblW w:w="0" w:type="auto"/>
        <w:tblInd w:w="1134" w:type="dxa"/>
        <w:tblLayout w:type="autofit"/>
        <w:tblCellMar>
          <w:top w:w="0" w:type="dxa"/>
          <w:left w:w="108" w:type="dxa"/>
          <w:bottom w:w="0" w:type="dxa"/>
          <w:right w:w="108" w:type="dxa"/>
        </w:tblCellMar>
      </w:tblPr>
      <w:tblGrid>
        <w:gridCol w:w="2235"/>
        <w:gridCol w:w="2551"/>
      </w:tblGrid>
      <w:tr w14:paraId="0045324D">
        <w:tblPrEx>
          <w:tblCellMar>
            <w:top w:w="0" w:type="dxa"/>
            <w:left w:w="108" w:type="dxa"/>
            <w:bottom w:w="0" w:type="dxa"/>
            <w:right w:w="108" w:type="dxa"/>
          </w:tblCellMar>
        </w:tblPrEx>
        <w:tc>
          <w:tcPr>
            <w:tcW w:w="2235" w:type="dxa"/>
            <w:vMerge w:val="restart"/>
            <w:shd w:val="clear" w:color="auto" w:fill="auto"/>
            <w:vAlign w:val="center"/>
          </w:tcPr>
          <w:p w14:paraId="2426F3A6">
            <w:pPr>
              <w:tabs>
                <w:tab w:val="left" w:pos="1440"/>
              </w:tabs>
              <w:snapToGrid w:val="0"/>
              <w:rPr>
                <w:rFonts w:ascii="Arial" w:hAnsi="Arial" w:cs="Arial"/>
                <w:lang w:val="pt-BR"/>
              </w:rPr>
            </w:pPr>
            <w:r>
              <w:rPr>
                <w:rFonts w:ascii="Arial" w:hAnsi="Arial" w:cs="Arial"/>
                <w:lang w:val="pt-BR"/>
              </w:rPr>
              <w:t>LC =</w:t>
            </w:r>
          </w:p>
        </w:tc>
        <w:tc>
          <w:tcPr>
            <w:tcW w:w="2551" w:type="dxa"/>
            <w:tcBorders>
              <w:bottom w:val="single" w:color="auto" w:sz="4" w:space="0"/>
            </w:tcBorders>
            <w:shd w:val="clear" w:color="auto" w:fill="auto"/>
            <w:vAlign w:val="bottom"/>
          </w:tcPr>
          <w:p w14:paraId="055DF323">
            <w:pPr>
              <w:tabs>
                <w:tab w:val="left" w:pos="1440"/>
              </w:tabs>
              <w:snapToGrid w:val="0"/>
              <w:rPr>
                <w:rFonts w:ascii="Arial" w:hAnsi="Arial" w:cs="Arial"/>
                <w:lang w:val="pt-BR"/>
              </w:rPr>
            </w:pPr>
            <w:r>
              <w:rPr>
                <w:rFonts w:ascii="Arial" w:hAnsi="Arial" w:cs="Arial"/>
                <w:lang w:val="pt-BR"/>
              </w:rPr>
              <w:t>Ativo Circulante</w:t>
            </w:r>
          </w:p>
        </w:tc>
      </w:tr>
      <w:tr w14:paraId="2C2BDD5E">
        <w:tblPrEx>
          <w:tblCellMar>
            <w:top w:w="0" w:type="dxa"/>
            <w:left w:w="108" w:type="dxa"/>
            <w:bottom w:w="0" w:type="dxa"/>
            <w:right w:w="108" w:type="dxa"/>
          </w:tblCellMar>
        </w:tblPrEx>
        <w:tc>
          <w:tcPr>
            <w:tcW w:w="2235" w:type="dxa"/>
            <w:vMerge w:val="continue"/>
            <w:shd w:val="clear" w:color="auto" w:fill="auto"/>
          </w:tcPr>
          <w:p w14:paraId="79A76A5E">
            <w:pPr>
              <w:tabs>
                <w:tab w:val="left" w:pos="1440"/>
              </w:tabs>
              <w:snapToGrid w:val="0"/>
              <w:rPr>
                <w:rFonts w:ascii="Arial" w:hAnsi="Arial" w:cs="Arial"/>
                <w:lang w:val="pt-BR"/>
              </w:rPr>
            </w:pPr>
          </w:p>
        </w:tc>
        <w:tc>
          <w:tcPr>
            <w:tcW w:w="2551" w:type="dxa"/>
            <w:tcBorders>
              <w:top w:val="single" w:color="auto" w:sz="4" w:space="0"/>
            </w:tcBorders>
            <w:shd w:val="clear" w:color="auto" w:fill="auto"/>
          </w:tcPr>
          <w:p w14:paraId="26A89369">
            <w:pPr>
              <w:tabs>
                <w:tab w:val="left" w:pos="1440"/>
              </w:tabs>
              <w:snapToGrid w:val="0"/>
              <w:rPr>
                <w:rFonts w:ascii="Arial" w:hAnsi="Arial" w:cs="Arial"/>
                <w:lang w:val="pt-BR"/>
              </w:rPr>
            </w:pPr>
            <w:r>
              <w:rPr>
                <w:rFonts w:ascii="Arial" w:hAnsi="Arial" w:cs="Arial"/>
                <w:lang w:val="pt-BR"/>
              </w:rPr>
              <w:t>Passivo Circulante</w:t>
            </w:r>
          </w:p>
        </w:tc>
      </w:tr>
    </w:tbl>
    <w:p w14:paraId="024C762C">
      <w:pPr>
        <w:pStyle w:val="17"/>
        <w:tabs>
          <w:tab w:val="left" w:pos="851"/>
        </w:tabs>
        <w:spacing w:before="113" w:line="360" w:lineRule="auto"/>
        <w:ind w:left="284" w:right="747"/>
        <w:contextualSpacing/>
        <w:rPr>
          <w:rFonts w:ascii="Arial" w:hAnsi="Arial" w:cs="Arial"/>
          <w:w w:val="110"/>
          <w:lang w:val="pt-BR"/>
        </w:rPr>
      </w:pPr>
    </w:p>
    <w:bookmarkEnd w:id="90"/>
    <w:p w14:paraId="3C8EA4F8">
      <w:pPr>
        <w:pStyle w:val="17"/>
        <w:numPr>
          <w:ilvl w:val="2"/>
          <w:numId w:val="4"/>
        </w:numPr>
        <w:tabs>
          <w:tab w:val="left" w:pos="1134"/>
        </w:tabs>
        <w:spacing w:before="113" w:line="360" w:lineRule="auto"/>
        <w:ind w:left="284" w:right="747" w:firstLine="0"/>
        <w:contextualSpacing/>
        <w:rPr>
          <w:rFonts w:ascii="Arial" w:hAnsi="Arial" w:cs="Arial"/>
          <w:w w:val="110"/>
          <w:lang w:val="pt-BR"/>
        </w:rPr>
      </w:pPr>
      <w:r>
        <w:rPr>
          <w:rFonts w:ascii="Arial" w:hAnsi="Arial" w:cs="Arial"/>
          <w:w w:val="110"/>
          <w:lang w:val="pt-BR"/>
        </w:rPr>
        <w:t>- Os documentos referidos acima limitar-se-ão ao último exercício no caso de a pessoa jurídica ter sido constituída há menos de 2 (dois) anos;</w:t>
      </w:r>
    </w:p>
    <w:p w14:paraId="3D913270">
      <w:pPr>
        <w:pStyle w:val="17"/>
        <w:numPr>
          <w:ilvl w:val="2"/>
          <w:numId w:val="4"/>
        </w:numPr>
        <w:tabs>
          <w:tab w:val="left" w:pos="1134"/>
        </w:tabs>
        <w:spacing w:before="113" w:line="360" w:lineRule="auto"/>
        <w:ind w:left="284" w:right="747" w:firstLine="0"/>
        <w:contextualSpacing/>
        <w:rPr>
          <w:rFonts w:ascii="Arial" w:hAnsi="Arial" w:cs="Arial"/>
          <w:w w:val="110"/>
          <w:lang w:val="pt-BR"/>
        </w:rPr>
      </w:pPr>
      <w:r>
        <w:rPr>
          <w:rFonts w:ascii="Arial" w:hAnsi="Arial" w:cs="Arial"/>
          <w:w w:val="110"/>
          <w:lang w:val="pt-BR"/>
        </w:rPr>
        <w:t>- Os documentos referidos acima deverão ser exigidos com base no limite definido pela Receita Federal do Brasil para transmissão da Escrituração Contábil Digital - ECD ao Sped.</w:t>
      </w:r>
    </w:p>
    <w:p w14:paraId="1248E2FD">
      <w:pPr>
        <w:pStyle w:val="17"/>
        <w:numPr>
          <w:ilvl w:val="1"/>
          <w:numId w:val="4"/>
        </w:numPr>
        <w:tabs>
          <w:tab w:val="left" w:pos="851"/>
        </w:tabs>
        <w:spacing w:before="113" w:line="360" w:lineRule="auto"/>
        <w:ind w:left="284" w:right="747" w:firstLine="0"/>
        <w:contextualSpacing/>
        <w:rPr>
          <w:rFonts w:ascii="Arial" w:hAnsi="Arial" w:cs="Arial"/>
          <w:w w:val="110"/>
          <w:lang w:val="pt-BR"/>
        </w:rPr>
      </w:pPr>
      <w:r>
        <w:rPr>
          <w:rFonts w:ascii="Arial" w:hAnsi="Arial" w:cs="Arial"/>
          <w:w w:val="110"/>
          <w:lang w:val="pt-BR"/>
        </w:rPr>
        <w:t>- Caso a empresa licitante apresente resultado inferior ou igual a 1 (um) em qualquer dos índices de Liquidez Geral (LG), Solvência Geral (SG) e Liquidez Corrente (LC), será exigido para fins de habilitação capital mínimo ou patrimônio líquido mínimo de 10% do valor total estimado da contratação ou valor total estimado da parcela pertinente.</w:t>
      </w:r>
    </w:p>
    <w:p w14:paraId="43F3BCBD">
      <w:pPr>
        <w:pStyle w:val="17"/>
        <w:numPr>
          <w:ilvl w:val="1"/>
          <w:numId w:val="4"/>
        </w:numPr>
        <w:tabs>
          <w:tab w:val="left" w:pos="851"/>
        </w:tabs>
        <w:spacing w:before="113" w:line="360" w:lineRule="auto"/>
        <w:ind w:left="284" w:right="747" w:firstLine="0"/>
        <w:contextualSpacing/>
        <w:rPr>
          <w:rFonts w:ascii="Arial" w:hAnsi="Arial" w:cs="Arial"/>
          <w:w w:val="110"/>
          <w:lang w:val="pt-BR"/>
        </w:rPr>
      </w:pPr>
      <w:r>
        <w:rPr>
          <w:rFonts w:ascii="Arial" w:hAnsi="Arial" w:cs="Arial"/>
          <w:w w:val="110"/>
          <w:lang w:val="pt-BR"/>
        </w:rPr>
        <w:t>- As empresas criadas no exercício financeiro da licitação deverão atender a todas as exigências da habilitação e poderão substituir os demonstrativos contábeis pelo balanço de abertura. (Lei nº 14.133, de 2021, art. 65, §1º).</w:t>
      </w:r>
    </w:p>
    <w:p w14:paraId="789C8130">
      <w:pPr>
        <w:pStyle w:val="17"/>
        <w:numPr>
          <w:ilvl w:val="1"/>
          <w:numId w:val="4"/>
        </w:numPr>
        <w:tabs>
          <w:tab w:val="left" w:pos="851"/>
        </w:tabs>
        <w:spacing w:before="113" w:line="360" w:lineRule="auto"/>
        <w:ind w:left="284" w:right="747" w:firstLine="0"/>
        <w:contextualSpacing/>
        <w:rPr>
          <w:rFonts w:ascii="Arial" w:hAnsi="Arial" w:cs="Arial"/>
          <w:w w:val="110"/>
          <w:lang w:val="pt-BR"/>
        </w:rPr>
      </w:pPr>
      <w:r>
        <w:rPr>
          <w:rFonts w:ascii="Arial" w:hAnsi="Arial" w:cs="Arial"/>
          <w:w w:val="110"/>
          <w:lang w:val="pt-BR"/>
        </w:rPr>
        <w:t>- O atendimento dos índices econômicos previstos neste item deverá ser atestado mediante declaração assinada por profissional habilitado da área contábil, apresentada pelo fornecedor.</w:t>
      </w:r>
    </w:p>
    <w:bookmarkEnd w:id="91"/>
    <w:p w14:paraId="3CE062AE">
      <w:pPr>
        <w:pStyle w:val="17"/>
        <w:tabs>
          <w:tab w:val="left" w:pos="851"/>
        </w:tabs>
        <w:spacing w:before="113" w:line="360" w:lineRule="auto"/>
        <w:ind w:left="284" w:right="747"/>
        <w:contextualSpacing/>
        <w:rPr>
          <w:rFonts w:ascii="Arial" w:hAnsi="Arial" w:cs="Arial"/>
          <w:color w:val="FF0000"/>
          <w:w w:val="110"/>
          <w:lang w:val="pt-BR"/>
        </w:rPr>
      </w:pPr>
    </w:p>
    <w:p w14:paraId="7C8A8F29">
      <w:pPr>
        <w:pStyle w:val="17"/>
        <w:numPr>
          <w:ilvl w:val="0"/>
          <w:numId w:val="4"/>
        </w:numPr>
        <w:tabs>
          <w:tab w:val="left" w:pos="709"/>
          <w:tab w:val="left" w:pos="851"/>
        </w:tabs>
        <w:spacing w:before="199" w:line="360" w:lineRule="auto"/>
        <w:ind w:left="284" w:right="747" w:firstLine="0"/>
        <w:contextualSpacing/>
        <w:outlineLvl w:val="0"/>
        <w:rPr>
          <w:rFonts w:ascii="Arial" w:hAnsi="Arial" w:eastAsia="Gill Sans MT" w:cs="Arial"/>
          <w:b/>
          <w:bCs/>
          <w:spacing w:val="-3"/>
          <w:lang w:val="pt-BR"/>
        </w:rPr>
      </w:pPr>
      <w:bookmarkStart w:id="92" w:name="_Toc151457797"/>
      <w:r>
        <w:rPr>
          <w:rFonts w:ascii="Arial" w:hAnsi="Arial" w:eastAsia="Gill Sans MT" w:cs="Arial"/>
          <w:b/>
          <w:bCs/>
          <w:spacing w:val="-3"/>
          <w:lang w:val="pt-BR"/>
        </w:rPr>
        <w:t>DA QUALIFICAÇÃO TÉCNICA</w:t>
      </w:r>
      <w:bookmarkEnd w:id="88"/>
      <w:bookmarkEnd w:id="92"/>
    </w:p>
    <w:p w14:paraId="6AA3250F">
      <w:pPr>
        <w:numPr>
          <w:ilvl w:val="1"/>
          <w:numId w:val="4"/>
        </w:numPr>
        <w:tabs>
          <w:tab w:val="left" w:pos="709"/>
          <w:tab w:val="left" w:pos="851"/>
        </w:tabs>
        <w:spacing w:before="199" w:line="360" w:lineRule="auto"/>
        <w:ind w:left="284" w:right="747" w:firstLine="0"/>
        <w:jc w:val="both"/>
        <w:rPr>
          <w:rFonts w:ascii="Arial" w:hAnsi="Arial" w:cs="Arial"/>
          <w:spacing w:val="-3"/>
          <w:lang w:val="pt-BR"/>
        </w:rPr>
      </w:pPr>
      <w:r>
        <w:rPr>
          <w:rFonts w:ascii="Arial" w:hAnsi="Arial" w:cs="Arial"/>
          <w:w w:val="110"/>
          <w:lang w:val="pt-BR"/>
        </w:rPr>
        <w:t>-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49EB6507">
      <w:pPr>
        <w:pStyle w:val="17"/>
        <w:numPr>
          <w:ilvl w:val="1"/>
          <w:numId w:val="4"/>
        </w:numPr>
        <w:tabs>
          <w:tab w:val="left" w:pos="709"/>
          <w:tab w:val="left" w:pos="851"/>
        </w:tabs>
        <w:spacing w:before="199" w:line="360" w:lineRule="auto"/>
        <w:ind w:left="284" w:right="747" w:firstLine="0"/>
        <w:rPr>
          <w:rFonts w:ascii="Arial" w:hAnsi="Arial" w:cs="Arial"/>
          <w:w w:val="110"/>
          <w:lang w:val="pt-BR"/>
        </w:rPr>
      </w:pPr>
      <w:r>
        <w:rPr>
          <w:rFonts w:ascii="Arial" w:hAnsi="Arial" w:cs="Arial"/>
          <w:w w:val="110"/>
          <w:lang w:val="pt-BR"/>
        </w:rPr>
        <w:t xml:space="preserve">- Para fins da comprovação de que trata este subitem, os atestados deverão dizer respeito a contratos executados com as seguintes características mínimas: </w:t>
      </w:r>
    </w:p>
    <w:p w14:paraId="69E67F08">
      <w:pPr>
        <w:numPr>
          <w:ilvl w:val="2"/>
          <w:numId w:val="4"/>
        </w:numPr>
        <w:tabs>
          <w:tab w:val="left" w:pos="709"/>
          <w:tab w:val="left" w:pos="1134"/>
        </w:tabs>
        <w:spacing w:before="199" w:line="360" w:lineRule="auto"/>
        <w:ind w:left="284" w:right="747" w:firstLine="0"/>
        <w:jc w:val="both"/>
        <w:rPr>
          <w:rFonts w:ascii="Arial" w:hAnsi="Arial" w:cs="Arial"/>
          <w:w w:val="110"/>
          <w:lang w:val="pt-BR"/>
        </w:rPr>
      </w:pPr>
      <w:r>
        <w:rPr>
          <w:rFonts w:ascii="Arial" w:hAnsi="Arial" w:cs="Arial"/>
          <w:spacing w:val="-3"/>
          <w:lang w:val="pt-BR"/>
        </w:rPr>
        <w:t xml:space="preserve">–  </w:t>
      </w:r>
      <w:r>
        <w:rPr>
          <w:rFonts w:ascii="Arial" w:hAnsi="Arial" w:cs="Arial"/>
          <w:w w:val="110"/>
          <w:lang w:val="pt-BR"/>
        </w:rPr>
        <w:t>Somente serão aceitos atestados expedidos após a conclusão do contrato ou se decorrido, pelo menos, um ano do início de sua execução, exceto se firmado para ser executado em prazo inferior.</w:t>
      </w:r>
    </w:p>
    <w:p w14:paraId="1FE5A2A5">
      <w:pPr>
        <w:numPr>
          <w:ilvl w:val="2"/>
          <w:numId w:val="4"/>
        </w:numPr>
        <w:tabs>
          <w:tab w:val="left" w:pos="709"/>
          <w:tab w:val="left" w:pos="1134"/>
        </w:tabs>
        <w:spacing w:before="199" w:line="360" w:lineRule="auto"/>
        <w:ind w:left="284" w:right="747" w:firstLine="0"/>
        <w:jc w:val="both"/>
        <w:rPr>
          <w:rFonts w:ascii="Arial" w:hAnsi="Arial" w:cs="Arial"/>
          <w:w w:val="110"/>
          <w:lang w:val="pt-BR"/>
        </w:rPr>
      </w:pPr>
      <w:r>
        <w:rPr>
          <w:rFonts w:ascii="Arial" w:hAnsi="Arial" w:cs="Arial"/>
          <w:w w:val="110"/>
          <w:lang w:val="pt-BR"/>
        </w:rPr>
        <w:t>- Os atestados de capacidade técnica poderão ser apresentados em nome da matriz ou da filial do fornecedor.</w:t>
      </w:r>
    </w:p>
    <w:p w14:paraId="7F1A4396">
      <w:pPr>
        <w:numPr>
          <w:ilvl w:val="2"/>
          <w:numId w:val="4"/>
        </w:numPr>
        <w:tabs>
          <w:tab w:val="left" w:pos="709"/>
          <w:tab w:val="left" w:pos="1134"/>
        </w:tabs>
        <w:spacing w:before="199" w:line="360" w:lineRule="auto"/>
        <w:ind w:left="284" w:right="747" w:firstLine="0"/>
        <w:jc w:val="both"/>
        <w:rPr>
          <w:rFonts w:ascii="Arial" w:hAnsi="Arial" w:cs="Arial"/>
          <w:w w:val="110"/>
          <w:lang w:val="pt-BR"/>
        </w:rPr>
      </w:pPr>
      <w:r>
        <w:rPr>
          <w:rFonts w:ascii="Arial" w:hAnsi="Arial" w:cs="Arial"/>
          <w:w w:val="110"/>
          <w:lang w:val="pt-BR"/>
        </w:rPr>
        <w:t>- O fornecedor disponibilizará todas as informações necessárias à comprovação da legitimidade dos atestados, apresentando,</w:t>
      </w:r>
      <w:r>
        <w:rPr>
          <w:rFonts w:ascii="Arial" w:hAnsi="Arial" w:cs="Arial"/>
          <w:spacing w:val="-3"/>
          <w:lang w:val="pt-BR"/>
        </w:rPr>
        <w:t xml:space="preserve"> </w:t>
      </w:r>
      <w:r>
        <w:rPr>
          <w:rFonts w:ascii="Arial" w:hAnsi="Arial" w:eastAsia="Gill Sans MT" w:cs="Arial"/>
          <w:b/>
          <w:bCs/>
          <w:spacing w:val="-3"/>
          <w:lang w:val="pt-BR"/>
        </w:rPr>
        <w:t>quando solicitado pela administração</w:t>
      </w:r>
      <w:r>
        <w:rPr>
          <w:rFonts w:ascii="Arial" w:hAnsi="Arial" w:cs="Arial"/>
          <w:w w:val="110"/>
          <w:lang w:val="pt-BR"/>
        </w:rPr>
        <w:t>, cópia do contrato que deu suporte à contratação, endereço atual da contratante e local em que foi executado o objeto contratado, dentre outros documentos.</w:t>
      </w:r>
    </w:p>
    <w:p w14:paraId="2229AC7B">
      <w:pPr>
        <w:numPr>
          <w:ilvl w:val="2"/>
          <w:numId w:val="4"/>
        </w:numPr>
        <w:tabs>
          <w:tab w:val="left" w:pos="709"/>
          <w:tab w:val="left" w:pos="1134"/>
        </w:tabs>
        <w:spacing w:before="199" w:line="360" w:lineRule="auto"/>
        <w:ind w:left="284" w:right="747" w:firstLine="0"/>
        <w:jc w:val="both"/>
        <w:rPr>
          <w:rFonts w:ascii="Arial" w:hAnsi="Arial" w:cs="Arial"/>
          <w:w w:val="110"/>
          <w:lang w:val="pt-BR"/>
        </w:rPr>
      </w:pPr>
      <w:r>
        <w:rPr>
          <w:rFonts w:ascii="Arial" w:hAnsi="Arial" w:cs="Arial"/>
          <w:w w:val="110"/>
          <w:lang w:val="pt-BR"/>
        </w:rPr>
        <w:t>- A empresa licitante deverá apresentar Certificado de Registro de Transporte Rodoviário Intermunicipal de Passageiros junto ao DETRO/RJ para a operação do fretamento por meio de locação/aluguel de veículos com motoristas, na forma do artigo 95, inciso IV e § 4º do Decreto nº. 42.868 de 28/02/2011.</w:t>
      </w:r>
    </w:p>
    <w:p w14:paraId="478D57C2">
      <w:pPr>
        <w:numPr>
          <w:ilvl w:val="0"/>
          <w:numId w:val="4"/>
        </w:numPr>
        <w:tabs>
          <w:tab w:val="left" w:pos="709"/>
        </w:tabs>
        <w:spacing w:before="199" w:line="360" w:lineRule="auto"/>
        <w:ind w:left="284" w:right="747" w:firstLine="0"/>
        <w:jc w:val="both"/>
        <w:outlineLvl w:val="0"/>
        <w:rPr>
          <w:rFonts w:ascii="Arial" w:hAnsi="Arial" w:eastAsia="Gill Sans MT" w:cs="Arial"/>
          <w:b/>
          <w:bCs/>
          <w:spacing w:val="-3"/>
          <w:lang w:val="pt-BR"/>
        </w:rPr>
      </w:pPr>
      <w:bookmarkStart w:id="93" w:name="_Toc135469231"/>
      <w:bookmarkStart w:id="94" w:name="_Toc151457798"/>
      <w:bookmarkStart w:id="95" w:name="_Toc62718171"/>
      <w:r>
        <w:rPr>
          <w:rFonts w:ascii="Arial" w:hAnsi="Arial" w:eastAsia="Gill Sans MT" w:cs="Arial"/>
          <w:b/>
          <w:bCs/>
          <w:spacing w:val="-3"/>
          <w:lang w:val="pt-BR"/>
        </w:rPr>
        <w:t>DA ATA DE REGISTRO DE PREÇOS</w:t>
      </w:r>
      <w:bookmarkEnd w:id="93"/>
      <w:bookmarkEnd w:id="94"/>
    </w:p>
    <w:p w14:paraId="146C7DCD">
      <w:pPr>
        <w:numPr>
          <w:ilvl w:val="1"/>
          <w:numId w:val="4"/>
        </w:numPr>
        <w:tabs>
          <w:tab w:val="left" w:pos="851"/>
        </w:tabs>
        <w:spacing w:before="113" w:line="360" w:lineRule="auto"/>
        <w:ind w:left="284" w:right="747" w:firstLine="0"/>
        <w:jc w:val="both"/>
        <w:rPr>
          <w:rFonts w:ascii="Arial" w:hAnsi="Arial" w:cs="Arial"/>
          <w:w w:val="110"/>
          <w:lang w:val="pt-BR"/>
        </w:rPr>
      </w:pPr>
      <w:bookmarkStart w:id="96" w:name="_Hlk137479694"/>
      <w:r>
        <w:rPr>
          <w:rFonts w:ascii="Arial" w:hAnsi="Arial" w:cs="Arial"/>
          <w:w w:val="110"/>
          <w:lang w:val="pt-BR"/>
        </w:rPr>
        <w:t xml:space="preserve">Homologado o resultado da licitação, o licitante mais bem classificado terá o prazo de 5 (cinco) dias, contados a partir da data de sua convocação, para assinar a Ata de Registro de Preços, cujo prazo de validade encontra-se nela fixado, sob pena de decadência do direito à contratação, sem prejuízo das sanções previstas na Lei nº 14.133, de 2021. </w:t>
      </w:r>
    </w:p>
    <w:p w14:paraId="2122F086">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O prazo de convocação poderá ser prorrogado uma vez, por igual período, mediante solicitação do licitante mais bem classificado ou do fornecedor convocado, desde que:</w:t>
      </w:r>
    </w:p>
    <w:p w14:paraId="5472105B">
      <w:pPr>
        <w:tabs>
          <w:tab w:val="left" w:pos="851"/>
        </w:tabs>
        <w:spacing w:before="113" w:line="360" w:lineRule="auto"/>
        <w:ind w:left="284" w:right="747"/>
        <w:jc w:val="both"/>
        <w:rPr>
          <w:rFonts w:ascii="Arial" w:hAnsi="Arial" w:cs="Arial"/>
          <w:w w:val="110"/>
          <w:lang w:val="pt-BR"/>
        </w:rPr>
      </w:pPr>
      <w:r>
        <w:rPr>
          <w:rFonts w:ascii="Arial" w:hAnsi="Arial" w:cs="Arial"/>
          <w:w w:val="110"/>
          <w:lang w:val="pt-BR"/>
        </w:rPr>
        <w:t>(a) a solicitação seja devidamente justificada e apresentada dentro do prazo; e</w:t>
      </w:r>
    </w:p>
    <w:p w14:paraId="36EA5E6F">
      <w:pPr>
        <w:tabs>
          <w:tab w:val="left" w:pos="851"/>
        </w:tabs>
        <w:spacing w:before="113" w:line="360" w:lineRule="auto"/>
        <w:ind w:left="284" w:right="747"/>
        <w:jc w:val="both"/>
        <w:rPr>
          <w:rFonts w:ascii="Arial" w:hAnsi="Arial" w:cs="Arial"/>
          <w:w w:val="110"/>
          <w:lang w:val="pt-BR"/>
        </w:rPr>
      </w:pPr>
      <w:r>
        <w:rPr>
          <w:rFonts w:ascii="Arial" w:hAnsi="Arial" w:cs="Arial"/>
          <w:w w:val="110"/>
          <w:lang w:val="pt-BR"/>
        </w:rPr>
        <w:t>(b) a justificativa apresentada seja aceita pela Administração.</w:t>
      </w:r>
    </w:p>
    <w:p w14:paraId="583586F7">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A ata de registro de preços será assinada por meio de assinatura digital e disponibilizada no sítio eletrônico oficial da Prefeitura Municipal de Nova Friburgo.</w:t>
      </w:r>
    </w:p>
    <w:p w14:paraId="188785E1">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69527CD0">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C8B360B">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3A50EDA">
      <w:pPr>
        <w:numPr>
          <w:ilvl w:val="0"/>
          <w:numId w:val="4"/>
        </w:numPr>
        <w:tabs>
          <w:tab w:val="left" w:pos="709"/>
        </w:tabs>
        <w:spacing w:before="199" w:line="360" w:lineRule="auto"/>
        <w:ind w:left="284" w:right="747" w:firstLine="0"/>
        <w:jc w:val="both"/>
        <w:outlineLvl w:val="0"/>
        <w:rPr>
          <w:rFonts w:ascii="Arial" w:hAnsi="Arial" w:eastAsia="Gill Sans MT" w:cs="Arial"/>
          <w:b/>
          <w:bCs/>
          <w:spacing w:val="-3"/>
          <w:lang w:val="pt-BR"/>
        </w:rPr>
      </w:pPr>
      <w:bookmarkStart w:id="97" w:name="_Toc135469232"/>
      <w:bookmarkStart w:id="98" w:name="_Toc151457799"/>
      <w:r>
        <w:rPr>
          <w:rFonts w:ascii="Arial" w:hAnsi="Arial" w:eastAsia="Gill Sans MT" w:cs="Arial"/>
          <w:b/>
          <w:bCs/>
          <w:spacing w:val="-3"/>
          <w:lang w:val="pt-BR"/>
        </w:rPr>
        <w:t>DA FORMAÇÃO DO CADASTRO DE RESERVA</w:t>
      </w:r>
      <w:bookmarkEnd w:id="97"/>
      <w:bookmarkEnd w:id="98"/>
      <w:r>
        <w:rPr>
          <w:rFonts w:ascii="Arial" w:hAnsi="Arial" w:eastAsia="Gill Sans MT" w:cs="Arial"/>
          <w:b/>
          <w:bCs/>
          <w:spacing w:val="-3"/>
          <w:lang w:val="pt-BR"/>
        </w:rPr>
        <w:t xml:space="preserve"> </w:t>
      </w:r>
    </w:p>
    <w:p w14:paraId="0E378648">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Após a homologação da licitação, será incluído na ata, na forma de anexo, o registro:</w:t>
      </w:r>
    </w:p>
    <w:p w14:paraId="03273DC5">
      <w:pPr>
        <w:pStyle w:val="17"/>
        <w:numPr>
          <w:ilvl w:val="2"/>
          <w:numId w:val="4"/>
        </w:numPr>
        <w:tabs>
          <w:tab w:val="left" w:pos="993"/>
        </w:tabs>
        <w:spacing w:before="113" w:line="360" w:lineRule="auto"/>
        <w:ind w:left="284" w:right="747" w:firstLine="0"/>
        <w:rPr>
          <w:rFonts w:ascii="Arial" w:hAnsi="Arial" w:cs="Arial"/>
          <w:w w:val="110"/>
          <w:lang w:val="pt-BR"/>
        </w:rPr>
      </w:pPr>
      <w:r>
        <w:rPr>
          <w:rFonts w:ascii="Arial" w:hAnsi="Arial" w:cs="Arial"/>
          <w:w w:val="110"/>
          <w:lang w:val="pt-BR"/>
        </w:rPr>
        <w:t xml:space="preserve">dos licitantes </w:t>
      </w:r>
      <w:bookmarkStart w:id="99" w:name="_Hlk132991372"/>
      <w:r>
        <w:rPr>
          <w:rFonts w:ascii="Arial" w:hAnsi="Arial" w:cs="Arial"/>
          <w:w w:val="110"/>
          <w:lang w:val="pt-BR"/>
        </w:rPr>
        <w:t xml:space="preserve">que </w:t>
      </w:r>
      <w:bookmarkStart w:id="100" w:name="_Hlk132989696"/>
      <w:r>
        <w:rPr>
          <w:rFonts w:ascii="Arial" w:hAnsi="Arial" w:cs="Arial"/>
          <w:w w:val="110"/>
          <w:lang w:val="pt-BR"/>
        </w:rPr>
        <w:t>aceitarem cotar o objeto com preço igual ao do adjudicatári</w:t>
      </w:r>
      <w:bookmarkEnd w:id="99"/>
      <w:r>
        <w:rPr>
          <w:rFonts w:ascii="Arial" w:hAnsi="Arial" w:cs="Arial"/>
          <w:w w:val="110"/>
          <w:lang w:val="pt-BR"/>
        </w:rPr>
        <w:t>o</w:t>
      </w:r>
      <w:bookmarkEnd w:id="100"/>
      <w:r>
        <w:rPr>
          <w:rFonts w:ascii="Arial" w:hAnsi="Arial" w:cs="Arial"/>
          <w:w w:val="110"/>
          <w:lang w:val="pt-BR"/>
        </w:rPr>
        <w:t xml:space="preserve">, observada a classificação na licitação; e </w:t>
      </w:r>
    </w:p>
    <w:p w14:paraId="1379583B">
      <w:pPr>
        <w:pStyle w:val="17"/>
        <w:numPr>
          <w:ilvl w:val="2"/>
          <w:numId w:val="4"/>
        </w:numPr>
        <w:tabs>
          <w:tab w:val="left" w:pos="993"/>
        </w:tabs>
        <w:spacing w:before="113" w:line="360" w:lineRule="auto"/>
        <w:ind w:left="284" w:right="747" w:firstLine="0"/>
        <w:rPr>
          <w:rFonts w:ascii="Arial" w:hAnsi="Arial" w:cs="Arial"/>
          <w:w w:val="110"/>
          <w:lang w:val="pt-BR"/>
        </w:rPr>
      </w:pPr>
      <w:r>
        <w:rPr>
          <w:rFonts w:ascii="Arial" w:hAnsi="Arial" w:cs="Arial"/>
          <w:w w:val="110"/>
          <w:lang w:val="pt-BR"/>
        </w:rPr>
        <w:t>dos licitantes que mantiverem sua proposta original</w:t>
      </w:r>
    </w:p>
    <w:p w14:paraId="313A829D">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Será respeitada, nas contratações, a ordem de classificação dos licitantes ou fornecedores registrados na ata.</w:t>
      </w:r>
    </w:p>
    <w:p w14:paraId="2CB18DD7">
      <w:pPr>
        <w:pStyle w:val="17"/>
        <w:numPr>
          <w:ilvl w:val="2"/>
          <w:numId w:val="4"/>
        </w:numPr>
        <w:tabs>
          <w:tab w:val="left" w:pos="1134"/>
        </w:tabs>
        <w:spacing w:before="113" w:line="360" w:lineRule="auto"/>
        <w:ind w:left="284" w:right="747" w:firstLine="0"/>
        <w:rPr>
          <w:rFonts w:ascii="Arial" w:hAnsi="Arial" w:cs="Arial"/>
          <w:w w:val="110"/>
          <w:lang w:val="pt-BR"/>
        </w:rPr>
      </w:pPr>
      <w:r>
        <w:rPr>
          <w:rFonts w:ascii="Arial" w:hAnsi="Arial" w:cs="Arial"/>
          <w:w w:val="110"/>
          <w:lang w:val="pt-BR"/>
        </w:rPr>
        <w:t>A apresentação de novas propostas na forma deste item não prejudicará o resultado do certame em relação ao licitante mais bem classificado.</w:t>
      </w:r>
    </w:p>
    <w:p w14:paraId="329B2B8D">
      <w:pPr>
        <w:pStyle w:val="17"/>
        <w:numPr>
          <w:ilvl w:val="2"/>
          <w:numId w:val="4"/>
        </w:numPr>
        <w:tabs>
          <w:tab w:val="left" w:pos="1134"/>
        </w:tabs>
        <w:spacing w:before="113" w:line="360" w:lineRule="auto"/>
        <w:ind w:left="284" w:right="747" w:firstLine="0"/>
        <w:rPr>
          <w:rFonts w:ascii="Arial" w:hAnsi="Arial" w:cs="Arial"/>
          <w:w w:val="110"/>
          <w:lang w:val="pt-BR"/>
        </w:rPr>
      </w:pPr>
      <w:r>
        <w:rPr>
          <w:rFonts w:ascii="Arial" w:hAnsi="Arial" w:cs="Arial"/>
          <w:w w:val="110"/>
          <w:lang w:val="pt-BR"/>
        </w:rPr>
        <w:t>Para fins da ordem de classificação, os licitantes ou fornecedores que aceitarem cotar o objeto com preço igual ao do adjudicatário antecederão aqueles que mantiverem sua proposta original.</w:t>
      </w:r>
    </w:p>
    <w:p w14:paraId="05E28DC7">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A habilitação dos licitantes que comporão o cadastro de reserva será efetuada quando houver necessidade de contratação dos licitantes remanescentes, nas seguintes hipóteses:</w:t>
      </w:r>
    </w:p>
    <w:p w14:paraId="5F65BEB1">
      <w:pPr>
        <w:pStyle w:val="17"/>
        <w:numPr>
          <w:ilvl w:val="2"/>
          <w:numId w:val="4"/>
        </w:numPr>
        <w:tabs>
          <w:tab w:val="left" w:pos="1134"/>
        </w:tabs>
        <w:spacing w:before="113" w:line="360" w:lineRule="auto"/>
        <w:ind w:left="284" w:right="747" w:firstLine="0"/>
        <w:rPr>
          <w:rFonts w:ascii="Arial" w:hAnsi="Arial" w:cs="Arial"/>
          <w:w w:val="110"/>
          <w:lang w:val="pt-BR"/>
        </w:rPr>
      </w:pPr>
      <w:r>
        <w:rPr>
          <w:rFonts w:ascii="Arial" w:hAnsi="Arial" w:cs="Arial"/>
          <w:w w:val="110"/>
          <w:lang w:val="pt-BR"/>
        </w:rPr>
        <w:t xml:space="preserve"> quando o licitante vencedor não assinar a ata de registro de preços no prazo e nas condições estabelecidos no edital; ou</w:t>
      </w:r>
    </w:p>
    <w:p w14:paraId="5D517D5E">
      <w:pPr>
        <w:pStyle w:val="17"/>
        <w:numPr>
          <w:ilvl w:val="2"/>
          <w:numId w:val="4"/>
        </w:numPr>
        <w:tabs>
          <w:tab w:val="left" w:pos="1134"/>
        </w:tabs>
        <w:spacing w:before="113" w:line="360" w:lineRule="auto"/>
        <w:ind w:left="284" w:right="747" w:firstLine="0"/>
        <w:rPr>
          <w:rFonts w:ascii="Arial" w:hAnsi="Arial" w:cs="Arial"/>
          <w:w w:val="110"/>
          <w:lang w:val="pt-BR"/>
        </w:rPr>
      </w:pPr>
      <w:r>
        <w:rPr>
          <w:rFonts w:ascii="Arial" w:hAnsi="Arial" w:cs="Arial"/>
          <w:w w:val="110"/>
          <w:lang w:val="pt-BR"/>
        </w:rPr>
        <w:t>quando houver o cancelamento do registro do fornecedor ou do registro de preços, nas hipóteses previstas nos art. 28 e art. 29 do Decreto nº 11.462/23.</w:t>
      </w:r>
    </w:p>
    <w:p w14:paraId="1A435CA9">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Na hipótese de nenhum dos licitantes que aceitaram cotar o objeto com preço igual ao do adjudicatário concordar com a contratação nos termos em igual prazo e nas</w:t>
      </w:r>
      <w:r>
        <w:rPr>
          <w:rFonts w:ascii="Arial" w:hAnsi="Arial" w:eastAsia="Gill Sans MT" w:cs="Arial"/>
          <w:b/>
          <w:bCs/>
          <w:spacing w:val="-3"/>
          <w:lang w:val="pt-BR"/>
        </w:rPr>
        <w:t xml:space="preserve"> </w:t>
      </w:r>
      <w:r>
        <w:rPr>
          <w:rFonts w:ascii="Arial" w:hAnsi="Arial" w:cs="Arial"/>
          <w:w w:val="110"/>
          <w:lang w:val="pt-BR"/>
        </w:rPr>
        <w:t>condições propostas pelo primeiro classificado, a Administração, observados o valor estimado e a sua eventual atualização na forma prevista no edital, poderá:</w:t>
      </w:r>
    </w:p>
    <w:p w14:paraId="25468D3F">
      <w:pPr>
        <w:pStyle w:val="17"/>
        <w:numPr>
          <w:ilvl w:val="2"/>
          <w:numId w:val="4"/>
        </w:numPr>
        <w:tabs>
          <w:tab w:val="left" w:pos="1134"/>
        </w:tabs>
        <w:spacing w:before="113" w:line="360" w:lineRule="auto"/>
        <w:ind w:left="284" w:right="747" w:firstLine="0"/>
        <w:rPr>
          <w:rFonts w:ascii="Arial" w:hAnsi="Arial" w:cs="Arial"/>
          <w:w w:val="110"/>
          <w:lang w:val="pt-BR"/>
        </w:rPr>
      </w:pPr>
      <w:r>
        <w:rPr>
          <w:rFonts w:ascii="Arial" w:hAnsi="Arial" w:cs="Arial"/>
          <w:w w:val="110"/>
          <w:lang w:val="pt-BR"/>
        </w:rPr>
        <w:t xml:space="preserve"> convocar os licitantes que mantiveram sua proposta original para negociação, na ordem de classificação, com vistas à obtenção de preço melhor, mesmo que acima do preço do adjudicatário; ou</w:t>
      </w:r>
    </w:p>
    <w:p w14:paraId="1EA5792A">
      <w:pPr>
        <w:pStyle w:val="17"/>
        <w:numPr>
          <w:ilvl w:val="2"/>
          <w:numId w:val="4"/>
        </w:numPr>
        <w:tabs>
          <w:tab w:val="left" w:pos="1134"/>
        </w:tabs>
        <w:spacing w:before="113" w:line="360" w:lineRule="auto"/>
        <w:ind w:left="284" w:right="747" w:firstLine="0"/>
        <w:rPr>
          <w:rFonts w:ascii="Arial" w:hAnsi="Arial" w:cs="Arial"/>
          <w:w w:val="110"/>
          <w:lang w:val="pt-BR"/>
        </w:rPr>
      </w:pPr>
      <w:r>
        <w:rPr>
          <w:rFonts w:ascii="Arial" w:hAnsi="Arial" w:cs="Arial"/>
          <w:w w:val="110"/>
          <w:lang w:val="pt-BR"/>
        </w:rPr>
        <w:t xml:space="preserve"> adjudicar e firmar o contrato nas condições ofertadas pelos licitantes remanescentes, observada a ordem de classificação, quando frustrada a negociação de melhor condição.</w:t>
      </w:r>
    </w:p>
    <w:bookmarkEnd w:id="96"/>
    <w:p w14:paraId="0FD19262">
      <w:pPr>
        <w:pStyle w:val="17"/>
        <w:numPr>
          <w:ilvl w:val="0"/>
          <w:numId w:val="4"/>
        </w:numPr>
        <w:tabs>
          <w:tab w:val="left" w:pos="709"/>
          <w:tab w:val="left" w:pos="851"/>
        </w:tabs>
        <w:spacing w:before="199" w:line="360" w:lineRule="auto"/>
        <w:ind w:left="284" w:right="747" w:firstLine="0"/>
        <w:contextualSpacing/>
        <w:outlineLvl w:val="0"/>
        <w:rPr>
          <w:rFonts w:ascii="Arial" w:hAnsi="Arial" w:eastAsia="Gill Sans MT" w:cs="Arial"/>
          <w:b/>
          <w:bCs/>
          <w:spacing w:val="-3"/>
          <w:lang w:val="pt-BR"/>
        </w:rPr>
      </w:pPr>
      <w:bookmarkStart w:id="101" w:name="_Toc151457800"/>
      <w:r>
        <w:rPr>
          <w:rFonts w:ascii="Arial" w:hAnsi="Arial" w:eastAsia="Gill Sans MT" w:cs="Arial"/>
          <w:b/>
          <w:bCs/>
          <w:spacing w:val="-3"/>
          <w:lang w:val="pt-BR"/>
        </w:rPr>
        <w:t>RECURSOS</w:t>
      </w:r>
      <w:bookmarkEnd w:id="95"/>
      <w:bookmarkEnd w:id="101"/>
    </w:p>
    <w:p w14:paraId="0DE0DE83">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A interposição de recurso referente ao julgamento das propostas, à habilitação ou inabilitação de licitantes, à anulação ou revogação da licitação, observará o disposto no </w:t>
      </w:r>
      <w:r>
        <w:fldChar w:fldCharType="begin"/>
      </w:r>
      <w:r>
        <w:instrText xml:space="preserve"> HYPERLINK "http://www.planalto.gov.br/ccivil_03/_ato2019-2022/2021/lei/L14133.htm" \l "art165" </w:instrText>
      </w:r>
      <w:r>
        <w:fldChar w:fldCharType="separate"/>
      </w:r>
      <w:r>
        <w:rPr>
          <w:rStyle w:val="9"/>
          <w:rFonts w:ascii="Arial" w:hAnsi="Arial" w:cs="Arial"/>
          <w:w w:val="110"/>
          <w:lang w:val="pt-BR"/>
        </w:rPr>
        <w:t>art. 165 da Lei nº 14.133, de 2021</w:t>
      </w:r>
      <w:r>
        <w:rPr>
          <w:rStyle w:val="9"/>
          <w:rFonts w:ascii="Arial" w:hAnsi="Arial" w:cs="Arial"/>
          <w:w w:val="110"/>
          <w:lang w:val="pt-BR"/>
        </w:rPr>
        <w:fldChar w:fldCharType="end"/>
      </w:r>
      <w:r>
        <w:rPr>
          <w:rFonts w:ascii="Arial" w:hAnsi="Arial" w:cs="Arial"/>
          <w:w w:val="110"/>
          <w:lang w:val="pt-BR"/>
        </w:rPr>
        <w:t>.</w:t>
      </w:r>
    </w:p>
    <w:p w14:paraId="43DA79F4">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O prazo recursal é de 3 (três) dias úteis, contados da data de intimação ou de lavratura da ata.</w:t>
      </w:r>
    </w:p>
    <w:p w14:paraId="56D62C98">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Quando o recurso apresentado impugnar o julgamento das propostas ou o ato de habilitação ou inabilitação do licitante:</w:t>
      </w:r>
    </w:p>
    <w:p w14:paraId="7179B841">
      <w:pPr>
        <w:numPr>
          <w:ilvl w:val="2"/>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a intenção de recorrer deverá ser manifestada imediatamente, sob pena de preclusão;</w:t>
      </w:r>
    </w:p>
    <w:p w14:paraId="659E8B2C">
      <w:pPr>
        <w:numPr>
          <w:ilvl w:val="2"/>
          <w:numId w:val="4"/>
        </w:numPr>
        <w:tabs>
          <w:tab w:val="left" w:pos="851"/>
        </w:tabs>
        <w:spacing w:before="113" w:line="360" w:lineRule="auto"/>
        <w:ind w:left="284" w:right="747" w:firstLine="0"/>
        <w:jc w:val="both"/>
        <w:rPr>
          <w:rFonts w:ascii="Arial" w:hAnsi="Arial" w:cs="Arial"/>
          <w:b/>
          <w:bCs/>
          <w:w w:val="110"/>
          <w:lang w:val="pt-BR"/>
        </w:rPr>
      </w:pPr>
      <w:bookmarkStart w:id="102" w:name="_Hlk135318381"/>
      <w:bookmarkStart w:id="103" w:name="_Hlk135315794"/>
      <w:r>
        <w:rPr>
          <w:rFonts w:ascii="Arial" w:hAnsi="Arial" w:cs="Arial"/>
          <w:w w:val="110"/>
          <w:lang w:val="pt-BR"/>
        </w:rPr>
        <w:t xml:space="preserve">o prazo para a manifestação da intenção de recorrer não será inferior a </w:t>
      </w:r>
      <w:r>
        <w:rPr>
          <w:rFonts w:ascii="Arial" w:hAnsi="Arial" w:cs="Arial"/>
          <w:b/>
          <w:bCs/>
          <w:w w:val="110"/>
          <w:lang w:val="pt-BR"/>
        </w:rPr>
        <w:t>10 (dez) minutos.</w:t>
      </w:r>
      <w:bookmarkEnd w:id="102"/>
    </w:p>
    <w:bookmarkEnd w:id="103"/>
    <w:p w14:paraId="0E4E170A">
      <w:pPr>
        <w:numPr>
          <w:ilvl w:val="2"/>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o prazo para apresentação das razões recursais será iniciado na data de intimação ou de lavratura da ata de habilitação ou inabilitação;</w:t>
      </w:r>
    </w:p>
    <w:p w14:paraId="4C7E2C00">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Os recursos deverão ser encaminhados em campo próprio do sistema.</w:t>
      </w:r>
    </w:p>
    <w:p w14:paraId="27914BE7">
      <w:pPr>
        <w:numPr>
          <w:ilvl w:val="1"/>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O recurso será dirigido à autoridade que tiver editado o ato ou proferido a decisão recorrida, a qual poderá reconsiderar sua decisão no prazo de 3 (três) dias úteis, ou, nesse mesmo prazo, encaminhar recurso para a autoridade superior, a qual decidirá de forma fundamentada, após a manifestação motivada do pregoeiro, e da Procuradoria Geral Municipal, no prazo de 10 (dez) dias úteis, contado do recebimento dos autos.</w:t>
      </w:r>
    </w:p>
    <w:p w14:paraId="0C262FEC">
      <w:pPr>
        <w:numPr>
          <w:ilvl w:val="1"/>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Os recursos interpostos fora do prazo não serão conhecidos. </w:t>
      </w:r>
    </w:p>
    <w:p w14:paraId="30093093">
      <w:pPr>
        <w:numPr>
          <w:ilvl w:val="1"/>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B9947F3">
      <w:pPr>
        <w:numPr>
          <w:ilvl w:val="1"/>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O recurso e o pedido de reconsideração terão efeito suspensivo do ato ou da decisão recorrida até que sobrevenha decisão final da autoridade competente. </w:t>
      </w:r>
    </w:p>
    <w:p w14:paraId="726A193B">
      <w:pPr>
        <w:numPr>
          <w:ilvl w:val="1"/>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O acolhimento do recurso invalida tão somente os atos insuscetíveis de aproveitamento. </w:t>
      </w:r>
    </w:p>
    <w:p w14:paraId="6B56D242">
      <w:pPr>
        <w:numPr>
          <w:ilvl w:val="1"/>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Os autos do processo permanecerão com vista franqueada aos interessados no sítio eletrônico </w:t>
      </w:r>
      <w:r>
        <w:fldChar w:fldCharType="begin"/>
      </w:r>
      <w:r>
        <w:instrText xml:space="preserve"> HYPERLINK "https://www.novafriburgo.rj.gov.br/licitacao/" </w:instrText>
      </w:r>
      <w:r>
        <w:fldChar w:fldCharType="separate"/>
      </w:r>
      <w:r>
        <w:rPr>
          <w:rStyle w:val="9"/>
          <w:rFonts w:ascii="Arial" w:hAnsi="Arial" w:cs="Arial"/>
          <w:w w:val="110"/>
          <w:lang w:val="pt-BR"/>
        </w:rPr>
        <w:t>https://www.novafriburgo.rj.gov.br/licitacao/</w:t>
      </w:r>
      <w:r>
        <w:rPr>
          <w:rStyle w:val="9"/>
          <w:rFonts w:ascii="Arial" w:hAnsi="Arial" w:cs="Arial"/>
          <w:w w:val="110"/>
          <w:lang w:val="pt-BR"/>
        </w:rPr>
        <w:fldChar w:fldCharType="end"/>
      </w:r>
      <w:r>
        <w:rPr>
          <w:rFonts w:ascii="Arial" w:hAnsi="Arial" w:cs="Arial"/>
          <w:w w:val="110"/>
          <w:lang w:val="pt-BR"/>
        </w:rPr>
        <w:t xml:space="preserve">. </w:t>
      </w:r>
    </w:p>
    <w:p w14:paraId="5A0844E7">
      <w:pPr>
        <w:numPr>
          <w:ilvl w:val="0"/>
          <w:numId w:val="4"/>
        </w:numPr>
        <w:tabs>
          <w:tab w:val="left" w:pos="709"/>
        </w:tabs>
        <w:spacing w:before="199" w:line="360" w:lineRule="auto"/>
        <w:ind w:left="284" w:right="747" w:firstLine="0"/>
        <w:jc w:val="both"/>
        <w:outlineLvl w:val="0"/>
        <w:rPr>
          <w:rFonts w:ascii="Arial" w:hAnsi="Arial" w:eastAsia="Gill Sans MT" w:cs="Arial"/>
          <w:b/>
          <w:bCs/>
          <w:spacing w:val="-3"/>
          <w:lang w:val="pt-BR"/>
        </w:rPr>
      </w:pPr>
      <w:bookmarkStart w:id="104" w:name="_Toc151457801"/>
      <w:bookmarkStart w:id="105" w:name="_Toc122606111"/>
      <w:r>
        <w:rPr>
          <w:rFonts w:ascii="Arial" w:hAnsi="Arial" w:eastAsia="Gill Sans MT" w:cs="Arial"/>
          <w:b/>
          <w:bCs/>
          <w:spacing w:val="-3"/>
          <w:lang w:val="pt-BR"/>
        </w:rPr>
        <w:t>DAS INFRAÇÕES ADMINISTRATIVAS E SANÇÕES</w:t>
      </w:r>
      <w:bookmarkEnd w:id="104"/>
      <w:bookmarkEnd w:id="105"/>
    </w:p>
    <w:p w14:paraId="23BFA274">
      <w:pPr>
        <w:numPr>
          <w:ilvl w:val="1"/>
          <w:numId w:val="4"/>
        </w:numPr>
        <w:tabs>
          <w:tab w:val="left" w:pos="851"/>
        </w:tabs>
        <w:spacing w:before="113"/>
        <w:ind w:left="284" w:right="747" w:firstLine="0"/>
        <w:rPr>
          <w:rFonts w:ascii="Arial" w:hAnsi="Arial" w:cs="Arial"/>
          <w:w w:val="110"/>
          <w:lang w:val="pt-BR"/>
        </w:rPr>
      </w:pPr>
      <w:bookmarkStart w:id="106" w:name="_Toc41405934"/>
      <w:bookmarkStart w:id="107" w:name="_Toc43891534"/>
      <w:r>
        <w:rPr>
          <w:rFonts w:ascii="Arial" w:hAnsi="Arial" w:cs="Arial"/>
          <w:w w:val="110"/>
          <w:lang w:val="pt-BR"/>
        </w:rPr>
        <w:t xml:space="preserve"> - Comete infração administrativa, nos termos da lei, o licitante que, com dolo ou culpa: </w:t>
      </w:r>
    </w:p>
    <w:p w14:paraId="3C026CD0">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w:t>
      </w:r>
      <w:bookmarkStart w:id="108" w:name="_Ref114668085"/>
      <w:r>
        <w:rPr>
          <w:rFonts w:ascii="Arial" w:hAnsi="Arial" w:cs="Arial"/>
          <w:w w:val="110"/>
          <w:lang w:val="pt-BR"/>
        </w:rPr>
        <w:t>deixar de entregar a documentação exigida para o certame ou não entregar qualquer documento que tenha sido solicitado pelo/a pregoeiro/a durante o certame;</w:t>
      </w:r>
      <w:bookmarkEnd w:id="108"/>
    </w:p>
    <w:p w14:paraId="2832D06F">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w:t>
      </w:r>
      <w:bookmarkStart w:id="109" w:name="_Ref114668108"/>
      <w:r>
        <w:rPr>
          <w:rFonts w:ascii="Arial" w:hAnsi="Arial" w:cs="Arial"/>
          <w:w w:val="110"/>
          <w:lang w:val="pt-BR"/>
        </w:rPr>
        <w:t>Salvo em decorrência de fato superveniente devidamente justificado, não mantiver a proposta em especial quando:</w:t>
      </w:r>
      <w:bookmarkEnd w:id="109"/>
    </w:p>
    <w:p w14:paraId="76721850">
      <w:pPr>
        <w:numPr>
          <w:ilvl w:val="3"/>
          <w:numId w:val="4"/>
        </w:numPr>
        <w:tabs>
          <w:tab w:val="left" w:pos="1276"/>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não enviar a proposta adequada ao último lance ofertado ou após a negociação; </w:t>
      </w:r>
    </w:p>
    <w:p w14:paraId="74BD0258">
      <w:pPr>
        <w:numPr>
          <w:ilvl w:val="3"/>
          <w:numId w:val="4"/>
        </w:numPr>
        <w:tabs>
          <w:tab w:val="left" w:pos="1276"/>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recusar-se a enviar o detalhamento da proposta quando exigível; </w:t>
      </w:r>
    </w:p>
    <w:p w14:paraId="4B5E35AB">
      <w:pPr>
        <w:numPr>
          <w:ilvl w:val="3"/>
          <w:numId w:val="4"/>
        </w:numPr>
        <w:tabs>
          <w:tab w:val="left" w:pos="1276"/>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pedir para ser desclassificado quando encerrada a etapa competitiva; ou </w:t>
      </w:r>
    </w:p>
    <w:p w14:paraId="017FCD13">
      <w:pPr>
        <w:numPr>
          <w:ilvl w:val="3"/>
          <w:numId w:val="4"/>
        </w:numPr>
        <w:tabs>
          <w:tab w:val="left" w:pos="1276"/>
        </w:tabs>
        <w:spacing w:before="113" w:line="360" w:lineRule="auto"/>
        <w:ind w:left="284" w:right="747" w:firstLine="0"/>
        <w:jc w:val="both"/>
        <w:rPr>
          <w:rFonts w:ascii="Arial" w:hAnsi="Arial" w:cs="Arial"/>
          <w:w w:val="110"/>
          <w:lang w:val="pt-BR"/>
        </w:rPr>
      </w:pPr>
      <w:r>
        <w:rPr>
          <w:rFonts w:ascii="Arial" w:hAnsi="Arial" w:cs="Arial"/>
          <w:w w:val="110"/>
          <w:lang w:val="pt-BR"/>
        </w:rPr>
        <w:t>- deixar de apresentar amostra;</w:t>
      </w:r>
    </w:p>
    <w:p w14:paraId="434E10F0">
      <w:pPr>
        <w:numPr>
          <w:ilvl w:val="3"/>
          <w:numId w:val="4"/>
        </w:numPr>
        <w:tabs>
          <w:tab w:val="left" w:pos="1276"/>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apresentar proposta ou amostra em desacordo com as especificações do edital; </w:t>
      </w:r>
    </w:p>
    <w:p w14:paraId="241D9D38">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w:t>
      </w:r>
      <w:bookmarkStart w:id="110" w:name="_Ref114668139"/>
      <w:r>
        <w:rPr>
          <w:rFonts w:ascii="Arial" w:hAnsi="Arial" w:cs="Arial"/>
          <w:w w:val="110"/>
          <w:lang w:val="pt-BR"/>
        </w:rPr>
        <w:t>não celebrar o contrato ou não entregar a documentação exigida para a contratação, quando convocado dentro do prazo de validade de sua proposta;</w:t>
      </w:r>
      <w:bookmarkEnd w:id="110"/>
    </w:p>
    <w:p w14:paraId="3EDFB659">
      <w:pPr>
        <w:numPr>
          <w:ilvl w:val="3"/>
          <w:numId w:val="4"/>
        </w:numPr>
        <w:tabs>
          <w:tab w:val="left" w:pos="1276"/>
        </w:tabs>
        <w:spacing w:before="113" w:line="360" w:lineRule="auto"/>
        <w:ind w:left="284" w:right="747" w:firstLine="0"/>
        <w:jc w:val="both"/>
        <w:rPr>
          <w:rFonts w:ascii="Arial" w:hAnsi="Arial" w:cs="Arial"/>
          <w:w w:val="110"/>
          <w:lang w:val="pt-BR"/>
        </w:rPr>
      </w:pPr>
      <w:r>
        <w:rPr>
          <w:rFonts w:ascii="Arial" w:hAnsi="Arial" w:cs="Arial"/>
          <w:w w:val="110"/>
          <w:lang w:val="pt-BR"/>
        </w:rPr>
        <w:t>- recusar-se, sem justificativa, a assinar o contrato ou a ata de registro de preço, ou a aceitar ou retirar o instrumento equivalente no prazo estabelecido pela Administração;</w:t>
      </w:r>
    </w:p>
    <w:p w14:paraId="0E80243A">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w:t>
      </w:r>
      <w:bookmarkStart w:id="111" w:name="_Ref114668249"/>
      <w:r>
        <w:rPr>
          <w:rFonts w:ascii="Arial" w:hAnsi="Arial" w:cs="Arial"/>
          <w:w w:val="110"/>
          <w:lang w:val="pt-BR"/>
        </w:rPr>
        <w:t>apresentar declaração ou documentação falsa exigida para o certame ou prestar declaração falsa durante a licitação</w:t>
      </w:r>
      <w:bookmarkEnd w:id="111"/>
      <w:r>
        <w:rPr>
          <w:rFonts w:ascii="Arial" w:hAnsi="Arial" w:cs="Arial"/>
          <w:w w:val="110"/>
          <w:lang w:val="pt-BR"/>
        </w:rPr>
        <w:t>;</w:t>
      </w:r>
    </w:p>
    <w:p w14:paraId="36376825">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w:t>
      </w:r>
      <w:bookmarkStart w:id="112" w:name="_Ref114668245"/>
      <w:r>
        <w:rPr>
          <w:rFonts w:ascii="Arial" w:hAnsi="Arial" w:cs="Arial"/>
          <w:w w:val="110"/>
          <w:lang w:val="pt-BR"/>
        </w:rPr>
        <w:t>fraudar a licitação</w:t>
      </w:r>
      <w:bookmarkEnd w:id="112"/>
      <w:r>
        <w:rPr>
          <w:rFonts w:ascii="Arial" w:hAnsi="Arial" w:cs="Arial"/>
          <w:w w:val="110"/>
          <w:lang w:val="pt-BR"/>
        </w:rPr>
        <w:t>;</w:t>
      </w:r>
    </w:p>
    <w:p w14:paraId="387413E4">
      <w:pPr>
        <w:numPr>
          <w:ilvl w:val="2"/>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w:t>
      </w:r>
      <w:bookmarkStart w:id="113" w:name="_Ref114668247"/>
      <w:r>
        <w:rPr>
          <w:rFonts w:ascii="Arial" w:hAnsi="Arial" w:cs="Arial"/>
          <w:w w:val="110"/>
          <w:lang w:val="pt-BR"/>
        </w:rPr>
        <w:t>comportar-se de modo inidôneo ou cometer fraude de qualquer natureza, em especial quando:</w:t>
      </w:r>
      <w:bookmarkEnd w:id="113"/>
    </w:p>
    <w:p w14:paraId="12724A90">
      <w:pPr>
        <w:numPr>
          <w:ilvl w:val="3"/>
          <w:numId w:val="4"/>
        </w:numPr>
        <w:tabs>
          <w:tab w:val="left" w:pos="1276"/>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agir em conluio ou em desconformidade com a lei; </w:t>
      </w:r>
    </w:p>
    <w:p w14:paraId="0327376B">
      <w:pPr>
        <w:numPr>
          <w:ilvl w:val="3"/>
          <w:numId w:val="4"/>
        </w:numPr>
        <w:tabs>
          <w:tab w:val="left" w:pos="1276"/>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induzir deliberadamente a erro no julgamento; </w:t>
      </w:r>
    </w:p>
    <w:p w14:paraId="7039347E">
      <w:pPr>
        <w:numPr>
          <w:ilvl w:val="3"/>
          <w:numId w:val="4"/>
        </w:numPr>
        <w:tabs>
          <w:tab w:val="left" w:pos="1276"/>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apresentar amostra falsificada ou deteriorada; </w:t>
      </w:r>
    </w:p>
    <w:p w14:paraId="6E1BD1EE">
      <w:pPr>
        <w:numPr>
          <w:ilvl w:val="2"/>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w:t>
      </w:r>
      <w:bookmarkStart w:id="114" w:name="_Ref114668251"/>
      <w:r>
        <w:rPr>
          <w:rFonts w:ascii="Arial" w:hAnsi="Arial" w:cs="Arial"/>
          <w:w w:val="110"/>
          <w:lang w:val="pt-BR"/>
        </w:rPr>
        <w:t>praticar atos ilícitos com vistas a frustrar os objetivos da licitação</w:t>
      </w:r>
      <w:bookmarkEnd w:id="114"/>
      <w:r>
        <w:rPr>
          <w:rFonts w:ascii="Arial" w:hAnsi="Arial" w:cs="Arial"/>
          <w:w w:val="110"/>
          <w:lang w:val="pt-BR"/>
        </w:rPr>
        <w:t>;</w:t>
      </w:r>
    </w:p>
    <w:p w14:paraId="3FD0ED8B">
      <w:pPr>
        <w:numPr>
          <w:ilvl w:val="2"/>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w:t>
      </w:r>
      <w:bookmarkStart w:id="115" w:name="_Ref114668252"/>
      <w:r>
        <w:rPr>
          <w:rFonts w:ascii="Arial" w:hAnsi="Arial" w:cs="Arial"/>
          <w:w w:val="110"/>
          <w:lang w:val="pt-BR"/>
        </w:rPr>
        <w:t xml:space="preserve">praticar ato lesivo previsto no </w:t>
      </w:r>
      <w:r>
        <w:fldChar w:fldCharType="begin"/>
      </w:r>
      <w:r>
        <w:instrText xml:space="preserve"> HYPERLINK "https://www.planalto.gov.br/ccivil_03/_ato2011-2014/2013/lei/l12846.htm" \l "art5" </w:instrText>
      </w:r>
      <w:r>
        <w:fldChar w:fldCharType="separate"/>
      </w:r>
      <w:r>
        <w:rPr>
          <w:lang w:val="pt-BR"/>
        </w:rPr>
        <w:t>art. 5º da Lei n.º 12.846, de 2013</w:t>
      </w:r>
      <w:r>
        <w:rPr>
          <w:lang w:val="pt-BR"/>
        </w:rPr>
        <w:fldChar w:fldCharType="end"/>
      </w:r>
      <w:r>
        <w:rPr>
          <w:rFonts w:ascii="Arial" w:hAnsi="Arial" w:cs="Arial"/>
          <w:w w:val="110"/>
          <w:lang w:val="pt-BR"/>
        </w:rPr>
        <w:t>.</w:t>
      </w:r>
      <w:bookmarkEnd w:id="115"/>
    </w:p>
    <w:p w14:paraId="75A919BE">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Com fulcro na </w:t>
      </w:r>
      <w:r>
        <w:fldChar w:fldCharType="begin"/>
      </w:r>
      <w:r>
        <w:instrText xml:space="preserve"> HYPERLINK "http://www.planalto.gov.br/ccivil_03/_ato2019-2022/2021/lei/L14133.htm" </w:instrText>
      </w:r>
      <w:r>
        <w:fldChar w:fldCharType="separate"/>
      </w:r>
      <w:r>
        <w:rPr>
          <w:rStyle w:val="9"/>
          <w:rFonts w:ascii="Arial" w:hAnsi="Arial" w:cs="Arial"/>
          <w:w w:val="110"/>
          <w:lang w:val="pt-BR"/>
        </w:rPr>
        <w:t>Lei nº 14.133, de 2021</w:t>
      </w:r>
      <w:r>
        <w:rPr>
          <w:rStyle w:val="9"/>
          <w:rFonts w:ascii="Arial" w:hAnsi="Arial" w:cs="Arial"/>
          <w:w w:val="110"/>
          <w:lang w:val="pt-BR"/>
        </w:rPr>
        <w:fldChar w:fldCharType="end"/>
      </w:r>
      <w:r>
        <w:rPr>
          <w:rFonts w:ascii="Arial" w:hAnsi="Arial" w:cs="Arial"/>
          <w:w w:val="110"/>
          <w:lang w:val="pt-BR"/>
        </w:rPr>
        <w:t xml:space="preserve">, a Administração poderá, garantida a prévia defesa, aplicar aos licitantes e/ou adjudicatários as seguintes sanções, sem prejuízo das responsabilidades civil e criminal: </w:t>
      </w:r>
    </w:p>
    <w:p w14:paraId="6C18399B">
      <w:pPr>
        <w:numPr>
          <w:ilvl w:val="2"/>
          <w:numId w:val="4"/>
        </w:numPr>
        <w:tabs>
          <w:tab w:val="left" w:pos="1276"/>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advertência; </w:t>
      </w:r>
    </w:p>
    <w:p w14:paraId="62FC8133">
      <w:pPr>
        <w:numPr>
          <w:ilvl w:val="2"/>
          <w:numId w:val="4"/>
        </w:numPr>
        <w:tabs>
          <w:tab w:val="left" w:pos="1276"/>
        </w:tabs>
        <w:spacing w:before="113" w:line="360" w:lineRule="auto"/>
        <w:ind w:left="284" w:right="747" w:firstLine="0"/>
        <w:jc w:val="both"/>
        <w:rPr>
          <w:rFonts w:ascii="Arial" w:hAnsi="Arial" w:cs="Arial"/>
          <w:w w:val="110"/>
          <w:lang w:val="pt-BR"/>
        </w:rPr>
      </w:pPr>
      <w:r>
        <w:rPr>
          <w:rFonts w:ascii="Arial" w:hAnsi="Arial" w:cs="Arial"/>
          <w:w w:val="110"/>
          <w:lang w:val="pt-BR"/>
        </w:rPr>
        <w:t>- multa;</w:t>
      </w:r>
    </w:p>
    <w:p w14:paraId="116A8805">
      <w:pPr>
        <w:numPr>
          <w:ilvl w:val="2"/>
          <w:numId w:val="4"/>
        </w:numPr>
        <w:tabs>
          <w:tab w:val="left" w:pos="1276"/>
        </w:tabs>
        <w:spacing w:before="113" w:line="360" w:lineRule="auto"/>
        <w:ind w:left="284" w:right="747" w:firstLine="0"/>
        <w:jc w:val="both"/>
        <w:rPr>
          <w:rFonts w:ascii="Arial" w:hAnsi="Arial" w:cs="Arial"/>
          <w:w w:val="110"/>
          <w:lang w:val="pt-BR"/>
        </w:rPr>
      </w:pPr>
      <w:r>
        <w:rPr>
          <w:rFonts w:ascii="Arial" w:hAnsi="Arial" w:cs="Arial"/>
          <w:w w:val="110"/>
          <w:lang w:val="pt-BR"/>
        </w:rPr>
        <w:t>- impedimento de licitar e contratar e;</w:t>
      </w:r>
    </w:p>
    <w:p w14:paraId="21B5116A">
      <w:pPr>
        <w:numPr>
          <w:ilvl w:val="2"/>
          <w:numId w:val="4"/>
        </w:numPr>
        <w:tabs>
          <w:tab w:val="left" w:pos="1276"/>
        </w:tabs>
        <w:spacing w:before="113" w:line="360" w:lineRule="auto"/>
        <w:ind w:left="284" w:right="747" w:firstLine="0"/>
        <w:jc w:val="both"/>
        <w:rPr>
          <w:rFonts w:ascii="Arial" w:hAnsi="Arial" w:cs="Arial"/>
          <w:w w:val="110"/>
          <w:lang w:val="pt-BR"/>
        </w:rPr>
      </w:pPr>
      <w:r>
        <w:rPr>
          <w:rFonts w:ascii="Arial" w:hAnsi="Arial" w:cs="Arial"/>
          <w:w w:val="110"/>
          <w:lang w:val="pt-BR"/>
        </w:rPr>
        <w:t>- declaração de inidoneidade para licitar ou contratar, enquanto perdurarem os motivos determinantes da punição ou até que seja promovida sua reabilitação perante a própria autoridade que aplicou a penalidade.</w:t>
      </w:r>
    </w:p>
    <w:p w14:paraId="696ED559">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Na aplicação das sanções serão considerados:</w:t>
      </w:r>
    </w:p>
    <w:p w14:paraId="00BC4122">
      <w:pPr>
        <w:numPr>
          <w:ilvl w:val="2"/>
          <w:numId w:val="4"/>
        </w:numPr>
        <w:tabs>
          <w:tab w:val="left" w:pos="1276"/>
        </w:tabs>
        <w:spacing w:before="113" w:line="360" w:lineRule="auto"/>
        <w:ind w:left="284" w:right="747" w:firstLine="0"/>
        <w:jc w:val="both"/>
        <w:rPr>
          <w:rFonts w:ascii="Arial" w:hAnsi="Arial" w:cs="Arial"/>
          <w:w w:val="110"/>
          <w:lang w:val="pt-BR"/>
        </w:rPr>
      </w:pPr>
      <w:r>
        <w:rPr>
          <w:rFonts w:ascii="Arial" w:hAnsi="Arial" w:cs="Arial"/>
          <w:w w:val="110"/>
          <w:lang w:val="pt-BR"/>
        </w:rPr>
        <w:t>- a natureza e a gravidade da infração cometida;</w:t>
      </w:r>
    </w:p>
    <w:p w14:paraId="6DC428C2">
      <w:pPr>
        <w:numPr>
          <w:ilvl w:val="2"/>
          <w:numId w:val="4"/>
        </w:numPr>
        <w:tabs>
          <w:tab w:val="left" w:pos="1276"/>
        </w:tabs>
        <w:spacing w:before="113" w:line="360" w:lineRule="auto"/>
        <w:ind w:left="284" w:right="747" w:firstLine="0"/>
        <w:jc w:val="both"/>
        <w:rPr>
          <w:rFonts w:ascii="Arial" w:hAnsi="Arial" w:cs="Arial"/>
          <w:w w:val="110"/>
          <w:lang w:val="pt-BR"/>
        </w:rPr>
      </w:pPr>
      <w:r>
        <w:rPr>
          <w:rFonts w:ascii="Arial" w:hAnsi="Arial" w:cs="Arial"/>
          <w:w w:val="110"/>
          <w:lang w:val="pt-BR"/>
        </w:rPr>
        <w:t>- as peculiaridades do caso concreto;</w:t>
      </w:r>
    </w:p>
    <w:p w14:paraId="135C11C9">
      <w:pPr>
        <w:numPr>
          <w:ilvl w:val="2"/>
          <w:numId w:val="4"/>
        </w:numPr>
        <w:tabs>
          <w:tab w:val="left" w:pos="1276"/>
        </w:tabs>
        <w:spacing w:before="113" w:line="360" w:lineRule="auto"/>
        <w:ind w:left="284" w:right="747" w:firstLine="0"/>
        <w:jc w:val="both"/>
        <w:rPr>
          <w:rFonts w:ascii="Arial" w:hAnsi="Arial" w:cs="Arial"/>
          <w:w w:val="110"/>
          <w:lang w:val="pt-BR"/>
        </w:rPr>
      </w:pPr>
      <w:r>
        <w:rPr>
          <w:rFonts w:ascii="Arial" w:hAnsi="Arial" w:cs="Arial"/>
          <w:w w:val="110"/>
          <w:lang w:val="pt-BR"/>
        </w:rPr>
        <w:t>- as circunstâncias agravantes ou atenuantes;</w:t>
      </w:r>
    </w:p>
    <w:p w14:paraId="4AFB6627">
      <w:pPr>
        <w:numPr>
          <w:ilvl w:val="2"/>
          <w:numId w:val="4"/>
        </w:numPr>
        <w:tabs>
          <w:tab w:val="left" w:pos="1276"/>
        </w:tabs>
        <w:spacing w:before="113" w:line="360" w:lineRule="auto"/>
        <w:ind w:left="284" w:right="747" w:firstLine="0"/>
        <w:jc w:val="both"/>
        <w:rPr>
          <w:rFonts w:ascii="Arial" w:hAnsi="Arial" w:cs="Arial"/>
          <w:w w:val="110"/>
          <w:lang w:val="pt-BR"/>
        </w:rPr>
      </w:pPr>
      <w:r>
        <w:rPr>
          <w:rFonts w:ascii="Arial" w:hAnsi="Arial" w:cs="Arial"/>
          <w:w w:val="110"/>
          <w:lang w:val="pt-BR"/>
        </w:rPr>
        <w:t>- os danos que dela provierem para a Administração Pública;</w:t>
      </w:r>
    </w:p>
    <w:p w14:paraId="6A6A3399">
      <w:pPr>
        <w:numPr>
          <w:ilvl w:val="2"/>
          <w:numId w:val="4"/>
        </w:numPr>
        <w:tabs>
          <w:tab w:val="left" w:pos="1276"/>
        </w:tabs>
        <w:spacing w:before="113" w:line="360" w:lineRule="auto"/>
        <w:ind w:left="284" w:right="747" w:firstLine="0"/>
        <w:jc w:val="both"/>
        <w:rPr>
          <w:rFonts w:ascii="Arial" w:hAnsi="Arial" w:cs="Arial"/>
          <w:w w:val="110"/>
          <w:lang w:val="pt-BR"/>
        </w:rPr>
      </w:pPr>
      <w:r>
        <w:rPr>
          <w:rFonts w:ascii="Arial" w:hAnsi="Arial" w:cs="Arial"/>
          <w:w w:val="110"/>
          <w:lang w:val="pt-BR"/>
        </w:rPr>
        <w:t>- a implantação ou o aperfeiçoamento de programa de integridade, conforme normas e orientações dos órgãos de controle.</w:t>
      </w:r>
    </w:p>
    <w:p w14:paraId="56E45A1A">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A multa será recolhida em percentual de 0,5% a 30% incidente sobre o valor do contrato licitado, recolhida no prazo máximo de 30 (trinta) dias úteis, a contar da comunicação oficial. </w:t>
      </w:r>
    </w:p>
    <w:p w14:paraId="1B8EE8E2">
      <w:pPr>
        <w:numPr>
          <w:ilvl w:val="2"/>
          <w:numId w:val="4"/>
        </w:numPr>
        <w:tabs>
          <w:tab w:val="left" w:pos="1276"/>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w:t>
      </w:r>
      <w:bookmarkStart w:id="116" w:name="_Hlk113876035"/>
      <w:r>
        <w:rPr>
          <w:rFonts w:ascii="Arial" w:hAnsi="Arial" w:cs="Arial"/>
          <w:w w:val="110"/>
          <w:lang w:val="pt-BR"/>
        </w:rPr>
        <w:t>Para as infrações previstas nos itens 23.1.1, 23.1.2 e 23.1.3, a multa será de 10% do valor do contrato licitado.</w:t>
      </w:r>
    </w:p>
    <w:bookmarkEnd w:id="116"/>
    <w:p w14:paraId="13792852">
      <w:pPr>
        <w:numPr>
          <w:ilvl w:val="2"/>
          <w:numId w:val="4"/>
        </w:numPr>
        <w:tabs>
          <w:tab w:val="left" w:pos="1276"/>
        </w:tabs>
        <w:spacing w:before="113" w:line="360" w:lineRule="auto"/>
        <w:ind w:left="284" w:right="747" w:firstLine="0"/>
        <w:jc w:val="both"/>
        <w:rPr>
          <w:rFonts w:ascii="Arial" w:hAnsi="Arial" w:cs="Arial"/>
          <w:w w:val="110"/>
          <w:lang w:val="pt-BR"/>
        </w:rPr>
      </w:pPr>
      <w:r>
        <w:rPr>
          <w:rFonts w:ascii="Arial" w:hAnsi="Arial" w:cs="Arial"/>
          <w:w w:val="110"/>
          <w:lang w:val="pt-BR"/>
        </w:rPr>
        <w:t>- Para as infrações previstas nos itens 23.1.4, 23.1.5, 23.1.6, 23.1.7 e 23.1.8, a multa será de 30% do valor do contrato licitado.</w:t>
      </w:r>
    </w:p>
    <w:p w14:paraId="7CAE920C">
      <w:pPr>
        <w:numPr>
          <w:ilvl w:val="1"/>
          <w:numId w:val="4"/>
        </w:numPr>
        <w:tabs>
          <w:tab w:val="left" w:pos="851"/>
        </w:tabs>
        <w:spacing w:before="113" w:line="360" w:lineRule="auto"/>
        <w:ind w:left="284" w:right="748" w:firstLine="0"/>
        <w:jc w:val="both"/>
        <w:rPr>
          <w:rFonts w:ascii="Arial" w:hAnsi="Arial" w:cs="Arial"/>
          <w:w w:val="110"/>
          <w:lang w:val="pt-BR"/>
        </w:rPr>
      </w:pPr>
      <w:r>
        <w:rPr>
          <w:rFonts w:ascii="Arial" w:hAnsi="Arial" w:cs="Arial"/>
          <w:w w:val="110"/>
          <w:lang w:val="pt-BR"/>
        </w:rPr>
        <w:t>- As sanções de advertência, impedimento de licitar e contratar e declaração de inidoneidade para licitar ou contratar poderão ser aplicadas, cumulativamente ou não, à penalidade de multa.</w:t>
      </w:r>
    </w:p>
    <w:p w14:paraId="65B17656">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Na aplicação da sanção de multa será facultada a defesa do interessado no prazo de 15 (quinze) dias úteis, contado da data de sua intimação.</w:t>
      </w:r>
    </w:p>
    <w:p w14:paraId="7145BD19">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A sanção de impedimento de licitar e contratar será aplicada ao responsável em decorrência das infrações administrativas relacionadas nos itens 23.1.1, 23.1.2 e 23.1.3, quando não se justificar a imposição de penalidade mais grave, e impedirá o responsável de licitar e contratar no âmbito da Administração Pública direta e indireta do Município de Nova Friburgo, pelo prazo máximo de 3 (três) anos.</w:t>
      </w:r>
    </w:p>
    <w:p w14:paraId="65C78FA4">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Poderá ser aplicada ao responsável a sanção de declaração de inidoneidade para licitar ou contratar, em decorrência da prática das infrações dispostas nos itens 23.1.4, 23.1.5, 23.1.6, 23.1.7 e 23.1.8, bem como pelas infrações administrativas previstas nos itens 23.1.1, 23.1.2 e 23.1.3 que justifiquem a imposição de penalidade mais grave que a sanção de impedimento de licitar e contratar, cuja duração observará o prazo previsto no </w:t>
      </w:r>
      <w:r>
        <w:fldChar w:fldCharType="begin"/>
      </w:r>
      <w:r>
        <w:instrText xml:space="preserve"> HYPERLINK "http://www.planalto.gov.br/ccivil_03/_ato2019-2022/2021/lei/L14133.htm" \l "art156§5" </w:instrText>
      </w:r>
      <w:r>
        <w:fldChar w:fldCharType="separate"/>
      </w:r>
      <w:r>
        <w:rPr>
          <w:rStyle w:val="9"/>
          <w:rFonts w:ascii="Arial" w:hAnsi="Arial" w:cs="Arial"/>
          <w:w w:val="110"/>
          <w:lang w:val="pt-BR"/>
        </w:rPr>
        <w:t>art. 156, §5º, da Lei n.º 14.133/2021</w:t>
      </w:r>
      <w:r>
        <w:rPr>
          <w:rStyle w:val="9"/>
          <w:rFonts w:ascii="Arial" w:hAnsi="Arial" w:cs="Arial"/>
          <w:w w:val="110"/>
          <w:lang w:val="pt-BR"/>
        </w:rPr>
        <w:fldChar w:fldCharType="end"/>
      </w:r>
      <w:r>
        <w:rPr>
          <w:rFonts w:ascii="Arial" w:hAnsi="Arial" w:cs="Arial"/>
          <w:w w:val="110"/>
          <w:lang w:val="pt-BR"/>
        </w:rPr>
        <w:t>.</w:t>
      </w:r>
    </w:p>
    <w:p w14:paraId="0171380B">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A recusa injustificada do adjudicatário em assinar o contrato ou a ata de registro de preço, ou em aceitar ou retirar o instrumento equivalente no prazo estabelecido pela Administração, descrita no item 23.1.3 caracterizará o descumprimento total da obrigação assumida e o sujeitará às penalidades e à imediata perda da garantia de proposta em favor do órgão ou entidade promotora da licitação, nos termos do </w:t>
      </w:r>
      <w:r>
        <w:fldChar w:fldCharType="begin"/>
      </w:r>
      <w:r>
        <w:instrText xml:space="preserve"> HYPERLINK "https://www.gov.br/compras/pt-br/acesso-a-informacao/legislacao/instrucoes-normativas/instrucao-normativa-seges-me-no-73-de-30-de-setembro-de-2022" </w:instrText>
      </w:r>
      <w:r>
        <w:fldChar w:fldCharType="separate"/>
      </w:r>
      <w:r>
        <w:rPr>
          <w:rStyle w:val="9"/>
          <w:rFonts w:ascii="Arial" w:hAnsi="Arial" w:cs="Arial"/>
          <w:w w:val="110"/>
          <w:lang w:val="pt-BR"/>
        </w:rPr>
        <w:t>art. 45, §4º da IN SEGES/ME n.º 73, de 2022</w:t>
      </w:r>
      <w:r>
        <w:rPr>
          <w:rStyle w:val="9"/>
          <w:rFonts w:ascii="Arial" w:hAnsi="Arial" w:cs="Arial"/>
          <w:w w:val="110"/>
          <w:lang w:val="pt-BR"/>
        </w:rPr>
        <w:fldChar w:fldCharType="end"/>
      </w:r>
      <w:r>
        <w:rPr>
          <w:rFonts w:ascii="Arial" w:hAnsi="Arial" w:cs="Arial"/>
          <w:w w:val="110"/>
          <w:lang w:val="pt-BR"/>
        </w:rPr>
        <w:t xml:space="preserve">. </w:t>
      </w:r>
    </w:p>
    <w:p w14:paraId="3C6E0384">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FD51893">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08D9708">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5444E5E">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O recurso e o pedido de reconsideração terão efeito suspensivo do ato ou da decisão recorrida até que sobrevenha decisão final da autoridade competente.</w:t>
      </w:r>
    </w:p>
    <w:p w14:paraId="4D968EB2">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A aplicação das sanções previstas neste edital não exclui, em hipótese alguma, a obrigação de reparação integral dos danos causados.</w:t>
      </w:r>
    </w:p>
    <w:p w14:paraId="0C6AD117">
      <w:pPr>
        <w:numPr>
          <w:ilvl w:val="0"/>
          <w:numId w:val="4"/>
        </w:numPr>
        <w:tabs>
          <w:tab w:val="left" w:pos="709"/>
        </w:tabs>
        <w:spacing w:before="199" w:line="360" w:lineRule="auto"/>
        <w:ind w:left="284" w:right="747" w:firstLine="0"/>
        <w:jc w:val="both"/>
        <w:outlineLvl w:val="0"/>
        <w:rPr>
          <w:rFonts w:ascii="Arial" w:hAnsi="Arial" w:eastAsia="Gill Sans MT" w:cs="Arial"/>
          <w:b/>
          <w:bCs/>
          <w:spacing w:val="-3"/>
          <w:lang w:val="pt-BR"/>
        </w:rPr>
      </w:pPr>
      <w:bookmarkStart w:id="117" w:name="_Toc62718174"/>
      <w:bookmarkStart w:id="118" w:name="_Toc151457802"/>
      <w:bookmarkStart w:id="119" w:name="_Toc146204515"/>
      <w:r>
        <w:rPr>
          <w:rFonts w:ascii="Arial" w:hAnsi="Arial" w:eastAsia="Gill Sans MT" w:cs="Arial"/>
          <w:b/>
          <w:bCs/>
          <w:spacing w:val="-3"/>
          <w:lang w:val="pt-BR"/>
        </w:rPr>
        <w:t>INSTRUMENTO DE AJUSTE</w:t>
      </w:r>
      <w:bookmarkEnd w:id="117"/>
      <w:bookmarkEnd w:id="118"/>
      <w:bookmarkEnd w:id="119"/>
    </w:p>
    <w:p w14:paraId="78E414A0">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A licitante vencedora será convocada no prazo de 5 (cinco) dias úteis, para celebração do contrato, nos termos da minuta constante do ANEXO VII deste edital.</w:t>
      </w:r>
    </w:p>
    <w:p w14:paraId="60F843F2">
      <w:pPr>
        <w:numPr>
          <w:ilvl w:val="1"/>
          <w:numId w:val="4"/>
        </w:numPr>
        <w:tabs>
          <w:tab w:val="left" w:pos="851"/>
        </w:tabs>
        <w:spacing w:before="113" w:line="360" w:lineRule="auto"/>
        <w:ind w:left="284" w:right="747" w:firstLine="0"/>
        <w:jc w:val="both"/>
        <w:rPr>
          <w:rFonts w:ascii="Arial" w:hAnsi="Arial" w:cs="Arial"/>
          <w:w w:val="110"/>
          <w:lang w:val="pt-BR"/>
        </w:rPr>
      </w:pPr>
      <w:bookmarkStart w:id="120" w:name="_Toc43891537"/>
      <w:r>
        <w:rPr>
          <w:rFonts w:ascii="Arial" w:hAnsi="Arial" w:cs="Arial"/>
          <w:w w:val="110"/>
          <w:lang w:val="pt-BR"/>
        </w:rPr>
        <w:t xml:space="preserve"> - Quando do comparecimento da empresa para assinatura do contrato, deverão ser apresentados os documentos de Carteira de Identidade e o Cadastro de Pessoas Físicas (CPF) do responsável pela assinatura do contrato. Se for procurador, apresentar, juntamente, a procuração comprovando o mandato.</w:t>
      </w:r>
      <w:bookmarkEnd w:id="120"/>
    </w:p>
    <w:p w14:paraId="2F5384A4">
      <w:pPr>
        <w:numPr>
          <w:ilvl w:val="1"/>
          <w:numId w:val="4"/>
        </w:numPr>
        <w:tabs>
          <w:tab w:val="left" w:pos="851"/>
        </w:tabs>
        <w:spacing w:before="113" w:line="360" w:lineRule="auto"/>
        <w:ind w:left="284" w:right="747" w:firstLine="0"/>
        <w:jc w:val="both"/>
        <w:rPr>
          <w:rFonts w:ascii="Arial" w:hAnsi="Arial" w:cs="Arial"/>
          <w:w w:val="110"/>
          <w:lang w:val="pt-BR"/>
        </w:rPr>
      </w:pPr>
      <w:bookmarkStart w:id="121" w:name="_Toc43891538"/>
      <w:r>
        <w:rPr>
          <w:rFonts w:ascii="Arial" w:hAnsi="Arial" w:cs="Arial"/>
          <w:w w:val="110"/>
          <w:lang w:val="pt-BR"/>
        </w:rPr>
        <w:t xml:space="preserve">- A licitante vencedora ficará obrigada a, no prazo máximo de 5 (cinco) dias úteis, entregar o contrato devidamente assinado pelo representante legal. </w:t>
      </w:r>
    </w:p>
    <w:p w14:paraId="3214465F">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O prazo estabelecido no documento da convocação poderá ser prorrogado uma vez, por igual período, quando solicitado expressamente pela parte, durante o seu transcurso e desde que ocorra motivo justificado aceito pela Administração.</w:t>
      </w:r>
      <w:bookmarkEnd w:id="121"/>
    </w:p>
    <w:p w14:paraId="4EDC663B">
      <w:pPr>
        <w:numPr>
          <w:ilvl w:val="1"/>
          <w:numId w:val="4"/>
        </w:numPr>
        <w:tabs>
          <w:tab w:val="left" w:pos="851"/>
        </w:tabs>
        <w:spacing w:before="113" w:line="360" w:lineRule="auto"/>
        <w:ind w:left="284" w:right="747" w:firstLine="0"/>
        <w:jc w:val="both"/>
        <w:rPr>
          <w:rFonts w:ascii="Arial" w:hAnsi="Arial" w:cs="Arial"/>
          <w:w w:val="110"/>
          <w:lang w:val="pt-BR"/>
        </w:rPr>
      </w:pPr>
      <w:bookmarkStart w:id="122" w:name="_Toc43891539"/>
      <w:r>
        <w:rPr>
          <w:rFonts w:ascii="Arial" w:hAnsi="Arial" w:cs="Arial"/>
          <w:w w:val="110"/>
          <w:lang w:val="pt-BR"/>
        </w:rPr>
        <w:t>- Caso a licitante vencedora não compareça para assinatura do instrumento contratual, até 05 (cinco) dias úteis após sua convocação estará caracterizado o descumprimento total da obrigação assumida, sujeitando a desistente às penalidades legalmente estabelecidas, sem prejuízo das multas estabelecidas neste edital, no contrato e das demais cominações legais.</w:t>
      </w:r>
      <w:bookmarkEnd w:id="122"/>
    </w:p>
    <w:p w14:paraId="070FE657">
      <w:pPr>
        <w:numPr>
          <w:ilvl w:val="1"/>
          <w:numId w:val="4"/>
        </w:numPr>
        <w:tabs>
          <w:tab w:val="left" w:pos="851"/>
        </w:tabs>
        <w:spacing w:before="113" w:line="360" w:lineRule="auto"/>
        <w:ind w:left="284" w:right="747" w:firstLine="0"/>
        <w:jc w:val="both"/>
        <w:rPr>
          <w:rFonts w:ascii="Arial" w:hAnsi="Arial" w:cs="Arial"/>
          <w:color w:val="auto"/>
          <w:w w:val="110"/>
          <w:highlight w:val="none"/>
          <w:lang w:val="pt-BR"/>
        </w:rPr>
      </w:pPr>
      <w:r>
        <w:rPr>
          <w:rFonts w:hint="default" w:ascii="Arial" w:hAnsi="Arial" w:cs="Arial"/>
          <w:color w:val="auto"/>
          <w:w w:val="110"/>
          <w:highlight w:val="none"/>
          <w:lang w:val="pt-BR"/>
        </w:rPr>
        <w:t xml:space="preserve">- </w:t>
      </w:r>
      <w:r>
        <w:rPr>
          <w:rFonts w:ascii="Arial" w:hAnsi="Arial" w:cs="Arial"/>
          <w:bCs/>
          <w:i w:val="0"/>
          <w:iCs/>
          <w:color w:val="auto"/>
          <w:highlight w:val="none"/>
          <w:lang w:val="pt-BR"/>
        </w:rPr>
        <w:t xml:space="preserve">A </w:t>
      </w:r>
      <w:r>
        <w:rPr>
          <w:rFonts w:hint="default" w:ascii="Arial" w:hAnsi="Arial" w:cs="Arial"/>
          <w:bCs/>
          <w:i w:val="0"/>
          <w:iCs/>
          <w:color w:val="auto"/>
          <w:highlight w:val="none"/>
          <w:lang w:val="pt-BR"/>
        </w:rPr>
        <w:t xml:space="preserve">presente </w:t>
      </w:r>
      <w:r>
        <w:rPr>
          <w:rFonts w:ascii="Arial" w:hAnsi="Arial" w:cs="Arial"/>
          <w:bCs/>
          <w:i w:val="0"/>
          <w:iCs/>
          <w:color w:val="auto"/>
          <w:highlight w:val="none"/>
          <w:lang w:val="pt-BR"/>
        </w:rPr>
        <w:t xml:space="preserve">contratação conta com garantia de execução, nos moldes do </w:t>
      </w:r>
      <w:r>
        <w:rPr>
          <w:i w:val="0"/>
          <w:iCs/>
          <w:color w:val="auto"/>
          <w:highlight w:val="none"/>
        </w:rPr>
        <w:fldChar w:fldCharType="begin"/>
      </w:r>
      <w:r>
        <w:rPr>
          <w:i w:val="0"/>
          <w:iCs/>
          <w:color w:val="auto"/>
          <w:highlight w:val="none"/>
        </w:rPr>
        <w:instrText xml:space="preserve"> HYPERLINK "http://www.planalto.gov.br/ccivil_03/_ato2019-2022/2021/lei/L14133.htm" \l "art96" </w:instrText>
      </w:r>
      <w:r>
        <w:rPr>
          <w:i w:val="0"/>
          <w:iCs/>
          <w:color w:val="auto"/>
          <w:highlight w:val="none"/>
        </w:rPr>
        <w:fldChar w:fldCharType="separate"/>
      </w:r>
      <w:r>
        <w:rPr>
          <w:bCs/>
          <w:i w:val="0"/>
          <w:iCs/>
          <w:color w:val="auto"/>
          <w:highlight w:val="none"/>
          <w:lang w:val="pt-BR"/>
        </w:rPr>
        <w:t>art. 96 da Lei nº 14.133</w:t>
      </w:r>
      <w:r>
        <w:rPr>
          <w:bCs/>
          <w:i w:val="0"/>
          <w:iCs/>
          <w:color w:val="auto"/>
          <w:highlight w:val="none"/>
          <w:lang w:val="pt-BR"/>
        </w:rPr>
        <w:fldChar w:fldCharType="end"/>
      </w:r>
      <w:r>
        <w:rPr>
          <w:bCs/>
          <w:i w:val="0"/>
          <w:iCs/>
          <w:color w:val="auto"/>
          <w:highlight w:val="none"/>
          <w:lang w:val="pt-BR"/>
        </w:rPr>
        <w:t>, de 2021</w:t>
      </w:r>
      <w:r>
        <w:rPr>
          <w:rFonts w:ascii="Arial" w:hAnsi="Arial" w:cs="Arial"/>
          <w:bCs/>
          <w:i w:val="0"/>
          <w:iCs/>
          <w:color w:val="auto"/>
          <w:highlight w:val="none"/>
          <w:lang w:val="pt-BR"/>
        </w:rPr>
        <w:t xml:space="preserve">, em valor correspondente a </w:t>
      </w:r>
      <w:r>
        <w:rPr>
          <w:rFonts w:hint="default" w:ascii="Arial" w:hAnsi="Arial" w:cs="Arial"/>
          <w:bCs/>
          <w:i w:val="0"/>
          <w:iCs/>
          <w:color w:val="auto"/>
          <w:highlight w:val="none"/>
          <w:lang w:val="pt-BR"/>
        </w:rPr>
        <w:t>5</w:t>
      </w:r>
      <w:r>
        <w:rPr>
          <w:rFonts w:ascii="Arial" w:hAnsi="Arial" w:cs="Arial"/>
          <w:bCs/>
          <w:i w:val="0"/>
          <w:iCs/>
          <w:color w:val="auto"/>
          <w:highlight w:val="none"/>
          <w:lang w:val="pt-BR"/>
        </w:rPr>
        <w:t>% (</w:t>
      </w:r>
      <w:r>
        <w:rPr>
          <w:rFonts w:hint="default" w:ascii="Arial" w:hAnsi="Arial" w:cs="Arial"/>
          <w:bCs/>
          <w:i w:val="0"/>
          <w:iCs/>
          <w:color w:val="auto"/>
          <w:highlight w:val="none"/>
          <w:lang w:val="pt-BR"/>
        </w:rPr>
        <w:t>cinco</w:t>
      </w:r>
      <w:r>
        <w:rPr>
          <w:rFonts w:ascii="Arial" w:hAnsi="Arial" w:cs="Arial"/>
          <w:bCs/>
          <w:i w:val="0"/>
          <w:iCs/>
          <w:color w:val="auto"/>
          <w:highlight w:val="none"/>
          <w:lang w:val="pt-BR"/>
        </w:rPr>
        <w:t xml:space="preserve"> por cento) do valor do contrato</w:t>
      </w:r>
      <w:r>
        <w:rPr>
          <w:rFonts w:hint="default" w:ascii="Arial" w:hAnsi="Arial" w:cs="Arial"/>
          <w:bCs/>
          <w:i w:val="0"/>
          <w:iCs/>
          <w:color w:val="auto"/>
          <w:highlight w:val="none"/>
          <w:lang w:val="pt-BR"/>
        </w:rPr>
        <w:t>, conforme disposições constantes no Anexo VII deste Edital.</w:t>
      </w:r>
    </w:p>
    <w:bookmarkEnd w:id="106"/>
    <w:bookmarkEnd w:id="107"/>
    <w:p w14:paraId="11F2E9F0">
      <w:pPr>
        <w:numPr>
          <w:ilvl w:val="0"/>
          <w:numId w:val="4"/>
        </w:numPr>
        <w:tabs>
          <w:tab w:val="left" w:pos="709"/>
        </w:tabs>
        <w:spacing w:before="199" w:line="360" w:lineRule="auto"/>
        <w:ind w:left="284" w:right="747" w:firstLine="0"/>
        <w:jc w:val="both"/>
        <w:outlineLvl w:val="0"/>
        <w:rPr>
          <w:rFonts w:ascii="Arial" w:hAnsi="Arial" w:eastAsia="Gill Sans MT" w:cs="Arial"/>
          <w:b/>
          <w:bCs/>
          <w:spacing w:val="-3"/>
          <w:lang w:val="pt-BR"/>
        </w:rPr>
      </w:pPr>
      <w:bookmarkStart w:id="123" w:name="_Toc151457803"/>
      <w:r>
        <w:rPr>
          <w:rFonts w:ascii="Arial" w:hAnsi="Arial" w:eastAsia="Gill Sans MT" w:cs="Arial"/>
          <w:b/>
          <w:bCs/>
          <w:spacing w:val="-3"/>
          <w:lang w:val="pt-BR"/>
        </w:rPr>
        <w:t>DA IMPUGNAÇÃO AO EDITAL E DO PEDIDO DE ESCLARECIMENTO</w:t>
      </w:r>
      <w:bookmarkEnd w:id="123"/>
    </w:p>
    <w:p w14:paraId="3C7293AD">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-Qualquer pessoa é parte legítima para impugnar este Edital por irregularidade na aplicação da </w:t>
      </w:r>
      <w:r>
        <w:fldChar w:fldCharType="begin"/>
      </w:r>
      <w:r>
        <w:instrText xml:space="preserve"> HYPERLINK "http://www.planalto.gov.br/ccivil_03/_ato2019-2022/2021/lei/L14133.htm" </w:instrText>
      </w:r>
      <w:r>
        <w:fldChar w:fldCharType="separate"/>
      </w:r>
      <w:r>
        <w:rPr>
          <w:rStyle w:val="9"/>
          <w:rFonts w:ascii="Arial" w:hAnsi="Arial" w:cs="Arial"/>
          <w:w w:val="110"/>
          <w:lang w:val="pt-BR"/>
        </w:rPr>
        <w:t>Lei nº 14.133, de 2021</w:t>
      </w:r>
      <w:r>
        <w:rPr>
          <w:rStyle w:val="9"/>
          <w:rFonts w:ascii="Arial" w:hAnsi="Arial" w:cs="Arial"/>
          <w:w w:val="110"/>
          <w:lang w:val="pt-BR"/>
        </w:rPr>
        <w:fldChar w:fldCharType="end"/>
      </w:r>
      <w:r>
        <w:rPr>
          <w:rFonts w:ascii="Arial" w:hAnsi="Arial" w:cs="Arial"/>
          <w:w w:val="110"/>
          <w:lang w:val="pt-BR"/>
        </w:rPr>
        <w:t>, devendo protocolar o pedido até 3 (três) dias úteis antes da data da abertura do certame.</w:t>
      </w:r>
    </w:p>
    <w:p w14:paraId="78500157">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A resposta à impugnação ou ao pedido de esclarecimento será divulgado em sítio eletrônico oficial no prazo de até 3 (três) dias úteis, limitado ao último dia útil anterior à data da abertura do certame.</w:t>
      </w:r>
    </w:p>
    <w:p w14:paraId="7E97C0A9">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A impugnação e o pedido de esclarecimento poderão ser realizados por forma eletrônica, ao pregoeiro pelo endereço de e-mail </w:t>
      </w:r>
      <w:r>
        <w:fldChar w:fldCharType="begin"/>
      </w:r>
      <w:r>
        <w:instrText xml:space="preserve"> HYPERLINK "mailto:licitacaopmnf@gmail.com" </w:instrText>
      </w:r>
      <w:r>
        <w:fldChar w:fldCharType="separate"/>
      </w:r>
      <w:r>
        <w:rPr>
          <w:rStyle w:val="9"/>
          <w:rFonts w:ascii="Arial" w:hAnsi="Arial" w:cs="Arial"/>
          <w:w w:val="110"/>
          <w:lang w:val="pt-BR"/>
        </w:rPr>
        <w:t>licitacaopmnf@gmail.com</w:t>
      </w:r>
      <w:r>
        <w:rPr>
          <w:rStyle w:val="9"/>
          <w:rFonts w:ascii="Arial" w:hAnsi="Arial" w:cs="Arial"/>
          <w:w w:val="110"/>
          <w:lang w:val="pt-BR"/>
        </w:rPr>
        <w:fldChar w:fldCharType="end"/>
      </w:r>
      <w:r>
        <w:rPr>
          <w:rFonts w:ascii="Arial" w:hAnsi="Arial" w:cs="Arial"/>
          <w:color w:val="FF0000"/>
          <w:w w:val="110"/>
          <w:lang w:val="pt-BR"/>
        </w:rPr>
        <w:t xml:space="preserve">.  </w:t>
      </w:r>
    </w:p>
    <w:p w14:paraId="02D3D9B1">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As impugnações e pedidos de esclarecimentos não suspendem os prazos previstos no certame.</w:t>
      </w:r>
    </w:p>
    <w:p w14:paraId="75EB5DD8">
      <w:pPr>
        <w:numPr>
          <w:ilvl w:val="2"/>
          <w:numId w:val="4"/>
        </w:numPr>
        <w:tabs>
          <w:tab w:val="left" w:pos="1134"/>
        </w:tabs>
        <w:spacing w:before="113" w:line="360" w:lineRule="auto"/>
        <w:ind w:left="284" w:right="747" w:firstLine="0"/>
        <w:jc w:val="both"/>
        <w:rPr>
          <w:rFonts w:ascii="Arial" w:hAnsi="Arial" w:cs="Arial"/>
          <w:w w:val="110"/>
          <w:lang w:val="pt-BR"/>
        </w:rPr>
      </w:pPr>
      <w:r>
        <w:rPr>
          <w:rFonts w:ascii="Arial" w:hAnsi="Arial" w:cs="Arial"/>
          <w:w w:val="110"/>
          <w:lang w:val="pt-BR"/>
        </w:rPr>
        <w:t>- A concessão de efeito suspensivo à impugnação é medida excepcional e deverá ser motivada pelo pregoeiro, nos autos do processo de licitação.</w:t>
      </w:r>
    </w:p>
    <w:p w14:paraId="210AB49E">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Acolhida a impugnação, será definida e publicada nova data para a realização do certame.</w:t>
      </w:r>
    </w:p>
    <w:p w14:paraId="204C9290">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As respostas  aos pedidos de esclarecimento e de impugnação serão divulgadas concomitantemente nos endereços eletrônicos </w:t>
      </w:r>
      <w:r>
        <w:rPr>
          <w:rFonts w:ascii="Arial" w:hAnsi="Arial" w:cs="Arial"/>
          <w:color w:val="0000FF"/>
          <w:w w:val="110"/>
          <w:u w:val="single"/>
          <w:lang w:val="pt-BR"/>
        </w:rPr>
        <w:t>https://www.pmnf.rj.gov.br/licitacao/</w:t>
      </w:r>
      <w:r>
        <w:rPr>
          <w:rFonts w:ascii="Arial" w:hAnsi="Arial" w:cs="Arial"/>
          <w:w w:val="110"/>
          <w:lang w:val="pt-BR"/>
        </w:rPr>
        <w:t xml:space="preserve"> e </w:t>
      </w:r>
      <w:r>
        <w:fldChar w:fldCharType="begin"/>
      </w:r>
      <w:r>
        <w:instrText xml:space="preserve"> HYPERLINK "http://www.gov.br/compras" </w:instrText>
      </w:r>
      <w:r>
        <w:fldChar w:fldCharType="separate"/>
      </w:r>
      <w:r>
        <w:rPr>
          <w:rStyle w:val="9"/>
          <w:rFonts w:ascii="Arial" w:hAnsi="Arial" w:cs="Arial"/>
          <w:w w:val="110"/>
          <w:lang w:val="pt-BR"/>
        </w:rPr>
        <w:t>www.gov.br/compras</w:t>
      </w:r>
      <w:r>
        <w:rPr>
          <w:rStyle w:val="9"/>
          <w:rFonts w:ascii="Arial" w:hAnsi="Arial" w:cs="Arial"/>
          <w:w w:val="110"/>
          <w:lang w:val="pt-BR"/>
        </w:rPr>
        <w:fldChar w:fldCharType="end"/>
      </w:r>
      <w:r>
        <w:rPr>
          <w:rFonts w:ascii="Arial" w:hAnsi="Arial" w:cs="Arial"/>
          <w:w w:val="110"/>
          <w:lang w:val="pt-BR"/>
        </w:rPr>
        <w:t>, para conhecimento geral e dos interessados em participar da licitação, e vincularão os participantes e a Administração quanto ao seu conteúdo.</w:t>
      </w:r>
    </w:p>
    <w:p w14:paraId="7041464D">
      <w:pPr>
        <w:numPr>
          <w:ilvl w:val="0"/>
          <w:numId w:val="4"/>
        </w:numPr>
        <w:tabs>
          <w:tab w:val="left" w:pos="709"/>
        </w:tabs>
        <w:spacing w:before="199" w:line="360" w:lineRule="auto"/>
        <w:ind w:left="284" w:right="747" w:firstLine="0"/>
        <w:jc w:val="both"/>
        <w:outlineLvl w:val="0"/>
        <w:rPr>
          <w:rFonts w:ascii="Arial" w:hAnsi="Arial" w:eastAsia="Gill Sans MT" w:cs="Arial"/>
          <w:b/>
          <w:bCs/>
          <w:spacing w:val="-3"/>
          <w:lang w:val="pt-BR"/>
        </w:rPr>
      </w:pPr>
      <w:bookmarkStart w:id="124" w:name="_Toc151457804"/>
      <w:r>
        <w:rPr>
          <w:rFonts w:ascii="Arial" w:hAnsi="Arial" w:eastAsia="Gill Sans MT" w:cs="Arial"/>
          <w:b/>
          <w:bCs/>
          <w:spacing w:val="-3"/>
          <w:lang w:val="pt-BR"/>
        </w:rPr>
        <w:t>DAS DISPOSIÇÕES GERAIS</w:t>
      </w:r>
      <w:bookmarkEnd w:id="124"/>
    </w:p>
    <w:p w14:paraId="63A4975F">
      <w:pPr>
        <w:numPr>
          <w:ilvl w:val="1"/>
          <w:numId w:val="4"/>
        </w:numPr>
        <w:tabs>
          <w:tab w:val="left" w:pos="851"/>
        </w:tabs>
        <w:spacing w:before="113" w:line="360" w:lineRule="auto"/>
        <w:ind w:left="284" w:right="747" w:firstLine="0"/>
        <w:jc w:val="both"/>
        <w:rPr>
          <w:rFonts w:ascii="Arial" w:hAnsi="Arial" w:cs="Arial"/>
          <w:w w:val="110"/>
          <w:lang w:val="pt-BR"/>
        </w:rPr>
      </w:pPr>
      <w:bookmarkStart w:id="125" w:name="_Toc43891543"/>
      <w:bookmarkStart w:id="126" w:name="_Toc41405949"/>
      <w:bookmarkStart w:id="127" w:name="_Toc41396812"/>
      <w:bookmarkStart w:id="128" w:name="_Toc41398162"/>
      <w:r>
        <w:rPr>
          <w:rFonts w:ascii="Arial" w:hAnsi="Arial" w:cs="Arial"/>
          <w:w w:val="110"/>
          <w:lang w:val="pt-BR"/>
        </w:rPr>
        <w:t>- Será divulgada ata da sessão pública no sistema eletrônico.</w:t>
      </w:r>
    </w:p>
    <w:p w14:paraId="1B3A7A18">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7963BF8B">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Todas as referências de tempo no Edital, no aviso e durante a sessão pública observarão o horário de Brasília - DF.</w:t>
      </w:r>
    </w:p>
    <w:p w14:paraId="71FBFD95">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A homologação do resultado desta licitação não implicará direito à contratação.</w:t>
      </w:r>
    </w:p>
    <w:p w14:paraId="48AEE867">
      <w:pPr>
        <w:numPr>
          <w:ilvl w:val="1"/>
          <w:numId w:val="4"/>
        </w:numPr>
        <w:tabs>
          <w:tab w:val="left" w:pos="851"/>
        </w:tabs>
        <w:spacing w:before="113" w:line="360" w:lineRule="auto"/>
        <w:ind w:left="284" w:right="747" w:firstLine="0"/>
        <w:jc w:val="both"/>
        <w:rPr>
          <w:rFonts w:ascii="Arial" w:hAnsi="Arial" w:cs="Arial"/>
          <w:b/>
          <w:bCs/>
          <w:w w:val="110"/>
          <w:lang w:val="pt-BR"/>
        </w:rPr>
      </w:pPr>
      <w:r>
        <w:rPr>
          <w:rFonts w:ascii="Arial" w:hAnsi="Arial" w:cs="Arial"/>
          <w:w w:val="110"/>
          <w:lang w:val="pt-BR"/>
        </w:rPr>
        <w:t xml:space="preserve">- </w:t>
      </w:r>
      <w:r>
        <w:rPr>
          <w:rFonts w:ascii="Arial" w:hAnsi="Arial" w:cs="Arial"/>
          <w:b/>
          <w:bCs/>
          <w:w w:val="110"/>
          <w:lang w:val="pt-BR"/>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90180A9">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Os licitantes assumem todos os custos de preparação e apresentação de suas propostas e a Administração não será, em nenhum caso, responsável por esses custos, independentemente da condução ou do resultado do processo licitatório.</w:t>
      </w:r>
    </w:p>
    <w:p w14:paraId="2D755536">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Na contagem dos prazos estabelecidos neste Edital e seus Anexos, excluir-se-á o dia do início e incluir-se-á o do vencimento. Só se iniciam e vencem os prazos em dias de expediente na Administração.</w:t>
      </w:r>
    </w:p>
    <w:p w14:paraId="02B27720">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w:t>
      </w:r>
      <w:r>
        <w:rPr>
          <w:rFonts w:ascii="Arial" w:hAnsi="Arial" w:cs="Arial"/>
          <w:b/>
          <w:bCs/>
          <w:w w:val="110"/>
          <w:lang w:val="pt-BR"/>
        </w:rPr>
        <w:t>O desatendimento de exigências formais não essenciais não importará o afastamento do licitante, desde que seja possível o aproveitamento do ato, observados os princípios da isonomia e do interesse público.</w:t>
      </w:r>
    </w:p>
    <w:p w14:paraId="738344D0">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Em caso de divergência entre disposições deste Edital e de seus anexos ou demais peças que compõem o processo, prevalecerá as deste Edital.</w:t>
      </w:r>
    </w:p>
    <w:p w14:paraId="3D8C4398">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 O Edital e seus anexos estão disponíveis, na íntegra, no Portal Nacional de Contratações Públicas (PNCP) e endereço eletrônico </w:t>
      </w:r>
      <w:r>
        <w:rPr>
          <w:rFonts w:ascii="Arial" w:hAnsi="Arial" w:cs="Arial"/>
          <w:color w:val="0000FF"/>
          <w:w w:val="110"/>
          <w:u w:val="single"/>
          <w:lang w:val="pt-BR"/>
        </w:rPr>
        <w:t>https://www.pmnf.rj.gov.br/licitacao/</w:t>
      </w:r>
      <w:r>
        <w:rPr>
          <w:rFonts w:ascii="Arial" w:hAnsi="Arial" w:cs="Arial"/>
          <w:w w:val="110"/>
          <w:lang w:val="pt-BR"/>
        </w:rPr>
        <w:t>.</w:t>
      </w:r>
    </w:p>
    <w:bookmarkEnd w:id="125"/>
    <w:bookmarkEnd w:id="126"/>
    <w:bookmarkEnd w:id="127"/>
    <w:bookmarkEnd w:id="128"/>
    <w:p w14:paraId="18355252">
      <w:pPr>
        <w:numPr>
          <w:ilvl w:val="1"/>
          <w:numId w:val="4"/>
        </w:numPr>
        <w:tabs>
          <w:tab w:val="left" w:pos="851"/>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w:t>
      </w:r>
      <w:bookmarkStart w:id="129" w:name="_Toc41405953"/>
      <w:bookmarkStart w:id="130" w:name="_Toc41398166"/>
      <w:bookmarkStart w:id="131" w:name="_Toc43891547"/>
      <w:bookmarkStart w:id="132" w:name="_Toc41396816"/>
      <w:r>
        <w:rPr>
          <w:rFonts w:ascii="Arial" w:hAnsi="Arial" w:cs="Arial"/>
          <w:w w:val="110"/>
          <w:lang w:val="pt-BR"/>
        </w:rPr>
        <w:t>É facultada ao pregoeiro e à autoridade superior, em qualquer fase da licitação, a promoção de diligência destinada a esclarecer ou a complementar a instrução do processo, inclusive para verificar a compatibilidade das especificações do objeto ofertado com os requisitos previstos neste edital e seus anexos</w:t>
      </w:r>
      <w:bookmarkEnd w:id="129"/>
      <w:bookmarkEnd w:id="130"/>
      <w:bookmarkEnd w:id="131"/>
      <w:bookmarkEnd w:id="132"/>
      <w:r>
        <w:rPr>
          <w:rFonts w:ascii="Arial" w:hAnsi="Arial" w:cs="Arial"/>
          <w:w w:val="110"/>
          <w:lang w:val="pt-BR"/>
        </w:rPr>
        <w:t>.</w:t>
      </w:r>
    </w:p>
    <w:p w14:paraId="4ED54ECE">
      <w:pPr>
        <w:numPr>
          <w:ilvl w:val="1"/>
          <w:numId w:val="4"/>
        </w:numPr>
        <w:tabs>
          <w:tab w:val="left" w:pos="851"/>
        </w:tabs>
        <w:spacing w:before="113" w:line="360" w:lineRule="auto"/>
        <w:ind w:left="284" w:right="747" w:firstLine="0"/>
        <w:jc w:val="both"/>
        <w:rPr>
          <w:rFonts w:ascii="Arial" w:hAnsi="Arial" w:cs="Arial"/>
          <w:w w:val="110"/>
          <w:lang w:val="pt-BR"/>
        </w:rPr>
      </w:pPr>
      <w:bookmarkStart w:id="133" w:name="_Toc43891550"/>
      <w:bookmarkStart w:id="134" w:name="_Toc41405956"/>
      <w:bookmarkStart w:id="135" w:name="_Toc41398169"/>
      <w:bookmarkStart w:id="136" w:name="_Toc41396819"/>
      <w:r>
        <w:rPr>
          <w:rFonts w:ascii="Arial" w:hAnsi="Arial" w:cs="Arial"/>
          <w:w w:val="110"/>
          <w:lang w:val="pt-BR"/>
        </w:rPr>
        <w:t xml:space="preserve"> - A Administração poderá, a qualquer momento, revogar esta licitação por razões de interesse público fundado em fato superveniente devidamente comprovado, ou anular o certame, se constatado vício no seu processamento.</w:t>
      </w:r>
      <w:bookmarkEnd w:id="133"/>
      <w:bookmarkEnd w:id="134"/>
      <w:bookmarkEnd w:id="135"/>
      <w:bookmarkEnd w:id="136"/>
    </w:p>
    <w:p w14:paraId="09C1F084">
      <w:pPr>
        <w:numPr>
          <w:ilvl w:val="1"/>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w:t>
      </w:r>
      <w:bookmarkStart w:id="137" w:name="_Toc41398171"/>
      <w:bookmarkStart w:id="138" w:name="_Toc43891552"/>
      <w:bookmarkStart w:id="139" w:name="_Toc41405958"/>
      <w:bookmarkStart w:id="140" w:name="_Toc41396821"/>
      <w:r>
        <w:rPr>
          <w:rFonts w:ascii="Arial" w:hAnsi="Arial" w:cs="Arial"/>
          <w:w w:val="110"/>
          <w:lang w:val="pt-BR"/>
        </w:rPr>
        <w:t>O acompanhamento dos resultados das fases desta licitação poderá ser feito através do endereço eletrônico</w:t>
      </w:r>
      <w:bookmarkEnd w:id="137"/>
      <w:bookmarkEnd w:id="138"/>
      <w:bookmarkEnd w:id="139"/>
      <w:bookmarkEnd w:id="140"/>
      <w:r>
        <w:rPr>
          <w:rFonts w:ascii="Arial" w:hAnsi="Arial" w:cs="Arial"/>
          <w:w w:val="110"/>
          <w:lang w:val="pt-BR"/>
        </w:rPr>
        <w:t xml:space="preserve"> </w:t>
      </w:r>
      <w:r>
        <w:fldChar w:fldCharType="begin"/>
      </w:r>
      <w:r>
        <w:instrText xml:space="preserve"> HYPERLINK "http://www.gov.br/compras" </w:instrText>
      </w:r>
      <w:r>
        <w:fldChar w:fldCharType="separate"/>
      </w:r>
      <w:r>
        <w:rPr>
          <w:rFonts w:ascii="Arial" w:hAnsi="Arial" w:cs="Arial"/>
          <w:color w:val="0000FF"/>
          <w:w w:val="110"/>
          <w:u w:val="single"/>
          <w:lang w:val="pt-BR"/>
        </w:rPr>
        <w:t>www.gov.br/compras</w:t>
      </w:r>
      <w:r>
        <w:rPr>
          <w:rFonts w:ascii="Arial" w:hAnsi="Arial" w:cs="Arial"/>
          <w:color w:val="0000FF"/>
          <w:w w:val="110"/>
          <w:u w:val="single"/>
          <w:lang w:val="pt-BR"/>
        </w:rPr>
        <w:fldChar w:fldCharType="end"/>
      </w:r>
      <w:r>
        <w:rPr>
          <w:rFonts w:ascii="Arial" w:hAnsi="Arial" w:cs="Arial"/>
          <w:w w:val="110"/>
          <w:lang w:val="pt-BR"/>
        </w:rPr>
        <w:t xml:space="preserve">. </w:t>
      </w:r>
    </w:p>
    <w:p w14:paraId="70349E50">
      <w:pPr>
        <w:numPr>
          <w:ilvl w:val="1"/>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xml:space="preserve">- </w:t>
      </w:r>
      <w:bookmarkStart w:id="141" w:name="_Toc41398172"/>
      <w:bookmarkStart w:id="142" w:name="_Toc41396822"/>
      <w:bookmarkStart w:id="143" w:name="_Toc41405959"/>
      <w:bookmarkStart w:id="144" w:name="_Toc43891553"/>
      <w:r>
        <w:rPr>
          <w:rFonts w:ascii="Arial" w:hAnsi="Arial" w:cs="Arial"/>
          <w:w w:val="110"/>
          <w:lang w:val="pt-BR"/>
        </w:rPr>
        <w:t>Os casos omissos serão resolvidos pelo pregoeiro, com auxílio da equipe de apoio.</w:t>
      </w:r>
      <w:bookmarkEnd w:id="141"/>
      <w:bookmarkEnd w:id="142"/>
      <w:bookmarkEnd w:id="143"/>
      <w:bookmarkEnd w:id="144"/>
    </w:p>
    <w:p w14:paraId="2DAA6344">
      <w:pPr>
        <w:numPr>
          <w:ilvl w:val="1"/>
          <w:numId w:val="4"/>
        </w:numPr>
        <w:tabs>
          <w:tab w:val="left" w:pos="993"/>
        </w:tabs>
        <w:spacing w:before="113" w:line="360" w:lineRule="auto"/>
        <w:ind w:left="284" w:right="747" w:firstLine="0"/>
        <w:jc w:val="both"/>
        <w:rPr>
          <w:rFonts w:ascii="Arial" w:hAnsi="Arial" w:cs="Arial"/>
          <w:w w:val="110"/>
          <w:lang w:val="pt-BR"/>
        </w:rPr>
      </w:pPr>
      <w:bookmarkStart w:id="145" w:name="_Toc41405960"/>
      <w:bookmarkStart w:id="146" w:name="_Toc43891554"/>
      <w:bookmarkStart w:id="147" w:name="_Toc41396823"/>
      <w:bookmarkStart w:id="148" w:name="_Toc41398173"/>
      <w:r>
        <w:rPr>
          <w:rFonts w:ascii="Arial" w:hAnsi="Arial" w:cs="Arial"/>
          <w:w w:val="110"/>
          <w:lang w:val="pt-BR"/>
        </w:rPr>
        <w:t xml:space="preserve"> - O Município de Nova Friburgo e as licitantes do certame elegem o foro do Município de Nova Friburgo para dirimir qualquer questão controversa relacionada com o presente edital.</w:t>
      </w:r>
      <w:bookmarkEnd w:id="145"/>
      <w:bookmarkEnd w:id="146"/>
      <w:bookmarkEnd w:id="147"/>
      <w:bookmarkEnd w:id="148"/>
    </w:p>
    <w:p w14:paraId="54F74115">
      <w:pPr>
        <w:numPr>
          <w:ilvl w:val="1"/>
          <w:numId w:val="4"/>
        </w:numPr>
        <w:tabs>
          <w:tab w:val="left" w:pos="993"/>
        </w:tabs>
        <w:spacing w:before="113" w:line="360" w:lineRule="auto"/>
        <w:ind w:left="284" w:right="747" w:firstLine="0"/>
        <w:jc w:val="both"/>
        <w:rPr>
          <w:rFonts w:ascii="Arial" w:hAnsi="Arial" w:cs="Arial"/>
          <w:w w:val="110"/>
          <w:lang w:val="pt-BR"/>
        </w:rPr>
      </w:pPr>
      <w:r>
        <w:rPr>
          <w:rFonts w:ascii="Arial" w:hAnsi="Arial" w:cs="Arial"/>
          <w:w w:val="110"/>
          <w:lang w:val="pt-BR"/>
        </w:rPr>
        <w:t>- Fazem parte deste Edital todos os anexos elencados no item 1.2.</w:t>
      </w:r>
    </w:p>
    <w:p w14:paraId="7CAEF972">
      <w:pPr>
        <w:spacing w:before="2" w:line="360" w:lineRule="auto"/>
        <w:ind w:right="747"/>
        <w:jc w:val="both"/>
        <w:rPr>
          <w:rFonts w:ascii="Arial" w:hAnsi="Arial" w:cs="Arial"/>
          <w:lang w:val="pt-BR"/>
        </w:rPr>
      </w:pPr>
    </w:p>
    <w:p w14:paraId="5FA49122">
      <w:pPr>
        <w:pStyle w:val="10"/>
        <w:spacing w:before="113" w:line="360" w:lineRule="auto"/>
        <w:ind w:left="-284" w:right="747" w:firstLine="851"/>
        <w:contextualSpacing/>
        <w:jc w:val="right"/>
        <w:rPr>
          <w:rFonts w:ascii="Arial" w:hAnsi="Arial" w:cs="Arial"/>
          <w:w w:val="115"/>
          <w:lang w:val="pt-BR"/>
        </w:rPr>
      </w:pPr>
      <w:r>
        <w:rPr>
          <w:rFonts w:ascii="Arial" w:hAnsi="Arial" w:cs="Arial"/>
          <w:w w:val="115"/>
          <w:lang w:val="pt-BR"/>
        </w:rPr>
        <w:t xml:space="preserve">Nova Friburgo, </w:t>
      </w:r>
      <w:r>
        <w:rPr>
          <w:rFonts w:hint="default" w:ascii="Arial" w:hAnsi="Arial" w:cs="Arial"/>
          <w:w w:val="115"/>
          <w:lang w:val="pt-BR"/>
        </w:rPr>
        <w:t>25 de fevereiro</w:t>
      </w:r>
      <w:r>
        <w:rPr>
          <w:rFonts w:ascii="Arial" w:hAnsi="Arial" w:cs="Arial"/>
          <w:w w:val="115"/>
          <w:lang w:val="pt-BR"/>
        </w:rPr>
        <w:t xml:space="preserve"> de 2026.</w:t>
      </w:r>
    </w:p>
    <w:p w14:paraId="4760B5F8">
      <w:pPr>
        <w:pStyle w:val="10"/>
        <w:spacing w:before="113" w:line="360" w:lineRule="auto"/>
        <w:ind w:left="-284" w:right="747" w:firstLine="851"/>
        <w:contextualSpacing/>
        <w:jc w:val="center"/>
        <w:rPr>
          <w:rFonts w:ascii="Arial" w:hAnsi="Arial" w:cs="Arial"/>
          <w:w w:val="115"/>
          <w:lang w:val="pt-BR"/>
        </w:rPr>
      </w:pPr>
    </w:p>
    <w:p w14:paraId="6A825EE9">
      <w:pPr>
        <w:spacing w:line="360" w:lineRule="auto"/>
        <w:rPr>
          <w:rFonts w:ascii="Azo Sans Lt" w:hAnsi="Azo Sans Lt"/>
        </w:rPr>
      </w:pPr>
    </w:p>
    <w:p w14:paraId="267FFD84">
      <w:pPr>
        <w:spacing w:line="360" w:lineRule="auto"/>
        <w:jc w:val="center"/>
        <w:rPr>
          <w:rFonts w:ascii="Calibri" w:hAnsi="Calibri" w:cs="Calibri"/>
          <w:sz w:val="20"/>
        </w:rPr>
      </w:pPr>
      <w:r>
        <w:rPr>
          <w:rFonts w:ascii="Calibri" w:hAnsi="Calibri" w:cs="Calibri"/>
          <w:sz w:val="20"/>
        </w:rPr>
        <w:t>_________________________________________________</w:t>
      </w:r>
    </w:p>
    <w:p w14:paraId="172D87DF">
      <w:pPr>
        <w:spacing w:line="360" w:lineRule="auto"/>
        <w:jc w:val="center"/>
        <w:rPr>
          <w:rFonts w:hint="default" w:ascii="Arial" w:hAnsi="Arial" w:cs="Arial"/>
        </w:rPr>
      </w:pPr>
      <w:r>
        <w:rPr>
          <w:rFonts w:hint="default" w:ascii="Arial" w:hAnsi="Arial" w:cs="Arial"/>
        </w:rPr>
        <w:t>GABRIEL COSTA WENDERROSCHY</w:t>
      </w:r>
    </w:p>
    <w:p w14:paraId="48C24476">
      <w:pPr>
        <w:spacing w:line="360" w:lineRule="auto"/>
        <w:jc w:val="center"/>
        <w:rPr>
          <w:rFonts w:hint="default" w:ascii="Arial" w:hAnsi="Arial" w:cs="Arial"/>
        </w:rPr>
      </w:pPr>
      <w:r>
        <w:rPr>
          <w:rFonts w:hint="default" w:ascii="Arial" w:hAnsi="Arial" w:cs="Arial"/>
        </w:rPr>
        <w:t>Secretário Municipal de Saúde</w:t>
      </w:r>
    </w:p>
    <w:p w14:paraId="0474C4EE">
      <w:pPr>
        <w:spacing w:line="360" w:lineRule="auto"/>
        <w:jc w:val="center"/>
        <w:rPr>
          <w:rFonts w:hint="default" w:ascii="Arial" w:hAnsi="Arial" w:cs="Arial"/>
          <w:lang w:val="pt-BR"/>
        </w:rPr>
      </w:pPr>
      <w:r>
        <w:rPr>
          <w:rFonts w:hint="default" w:ascii="Arial" w:hAnsi="Arial" w:cs="Arial"/>
        </w:rPr>
        <w:t>Mat. 063.454</w:t>
      </w:r>
    </w:p>
    <w:sectPr>
      <w:headerReference r:id="rId3" w:type="default"/>
      <w:footerReference r:id="rId4" w:type="default"/>
      <w:pgSz w:w="11910" w:h="16840"/>
      <w:pgMar w:top="426" w:right="573" w:bottom="958" w:left="1134" w:header="142" w:footer="340" w:gutter="0"/>
      <w:cols w:space="720" w:num="1"/>
      <w:titlePg/>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Gill Sans MT">
    <w:panose1 w:val="020B0502020104020203"/>
    <w:charset w:val="00"/>
    <w:family w:val="swiss"/>
    <w:pitch w:val="default"/>
    <w:sig w:usb0="00000003" w:usb1="00000000" w:usb2="00000000" w:usb3="00000000" w:csb0="20000003" w:csb1="00000000"/>
  </w:font>
  <w:font w:name="Cambria">
    <w:panose1 w:val="02040503050406030204"/>
    <w:charset w:val="00"/>
    <w:family w:val="roman"/>
    <w:pitch w:val="default"/>
    <w:sig w:usb0="E00006FF" w:usb1="420024FF" w:usb2="02000000" w:usb3="00000000" w:csb0="2000019F" w:csb1="00000000"/>
  </w:font>
  <w:font w:name="Ecofont_Spranq_eco_Sans">
    <w:altName w:val="Cambria"/>
    <w:panose1 w:val="00000000000000000000"/>
    <w:charset w:val="00"/>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等线 Light">
    <w:altName w:val="Liberation Mono"/>
    <w:panose1 w:val="00000000000000000000"/>
    <w:charset w:val="00"/>
    <w:family w:val="auto"/>
    <w:pitch w:val="default"/>
    <w:sig w:usb0="00000000" w:usb1="00000000" w:usb2="00000000" w:usb3="00000000" w:csb0="00000000" w:csb1="00000000"/>
  </w:font>
  <w:font w:name="Azo Sans Lt">
    <w:altName w:val="Wide Latin"/>
    <w:panose1 w:val="02000000000000000000"/>
    <w:charset w:val="00"/>
    <w:family w:val="modern"/>
    <w:pitch w:val="default"/>
    <w:sig w:usb0="00000000" w:usb1="00000000" w:usb2="00000000" w:usb3="00000000" w:csb0="20000093" w:csb1="00000000"/>
  </w:font>
  <w:font w:name="Wide Latin">
    <w:panose1 w:val="020A0A07050505020404"/>
    <w:charset w:val="00"/>
    <w:family w:val="auto"/>
    <w:pitch w:val="default"/>
    <w:sig w:usb0="00000003" w:usb1="00000000" w:usb2="00000000" w:usb3="00000000" w:csb0="20000001" w:csb1="00000000"/>
  </w:font>
  <w:font w:name="Liberation Mono">
    <w:panose1 w:val="02070409020205020404"/>
    <w:charset w:val="00"/>
    <w:family w:val="auto"/>
    <w:pitch w:val="default"/>
    <w:sig w:usb0="E0000AFF" w:usb1="400078FF" w:usb2="00000001" w:usb3="00000000" w:csb0="600001BF" w:csb1="DFF7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57EC62">
    <w:pPr>
      <w:pStyle w:val="13"/>
      <w:jc w:val="center"/>
      <w:rPr>
        <w:b/>
        <w:i/>
        <w:color w:val="7C7C7C" w:themeColor="accent3" w:themeShade="BF"/>
      </w:rPr>
    </w:pPr>
    <w:r>
      <w:rPr>
        <w:color w:val="7C7C7C" w:themeColor="accent3" w:themeShade="BF"/>
      </w:rPr>
      <w:t>Comissão de Contratação - Prefeitura Municipal de Nova Friburgo/RJ</w:t>
    </w:r>
  </w:p>
  <w:p w14:paraId="6D8D70C0">
    <w:pPr>
      <w:pStyle w:val="13"/>
      <w:jc w:val="center"/>
      <w:rPr>
        <w:b/>
        <w:i/>
        <w:color w:val="7C7C7C" w:themeColor="accent3" w:themeShade="BF"/>
      </w:rPr>
    </w:pPr>
    <w:r>
      <w:rPr>
        <w:color w:val="7C7C7C" w:themeColor="accent3" w:themeShade="BF"/>
      </w:rPr>
      <w:t>Avenida Alberto Braune, nº 224, sobreloja - Centro</w:t>
    </w:r>
  </w:p>
  <w:p w14:paraId="662B5CA0">
    <w:pPr>
      <w:pStyle w:val="13"/>
      <w:jc w:val="center"/>
      <w:rPr>
        <w:color w:val="7C7C7C" w:themeColor="accent3" w:themeShade="BF"/>
      </w:rPr>
    </w:pPr>
    <w:r>
      <w:rPr>
        <w:color w:val="7C7C7C" w:themeColor="accent3" w:themeShade="BF"/>
      </w:rPr>
      <w:t>Telefone (22) 2525-9100 - Ramais 292 ou 350</w:t>
    </w:r>
  </w:p>
  <w:p w14:paraId="288D4F1A">
    <w:pPr>
      <w:pStyle w:val="13"/>
      <w:jc w:val="center"/>
      <w:rPr>
        <w:color w:val="7C7C7C" w:themeColor="accent3" w:themeShade="BF"/>
      </w:rPr>
    </w:pPr>
    <w:r>
      <w:rPr>
        <w:color w:val="7C7C7C" w:themeColor="accent3" w:themeShade="BF"/>
      </w:rPr>
      <w:t>E-mail: licitacao.cplpmnf@gmail.com</w:t>
    </w:r>
  </w:p>
  <w:p w14:paraId="222C2940">
    <w:pPr>
      <w:pStyle w:val="13"/>
      <w:jc w:val="center"/>
      <w:rPr>
        <w:rFonts w:ascii="Arial" w:hAnsi="Arial" w:cs="Arial"/>
        <w:color w:val="000000"/>
      </w:rPr>
    </w:pPr>
  </w:p>
  <w:p w14:paraId="30F2D997">
    <w:pPr>
      <w:pStyle w:val="13"/>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2</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27</w:t>
    </w:r>
    <w:r>
      <w:rPr>
        <w:rFonts w:ascii="Arial" w:hAnsi="Arial" w:cs="Arial"/>
        <w:color w:val="000000"/>
        <w:sz w:val="18"/>
        <w:szCs w:val="18"/>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A69052">
    <w:pPr>
      <w:pStyle w:val="12"/>
      <w:ind w:left="142" w:hanging="284"/>
      <w:rPr>
        <w:sz w:val="4"/>
        <w:szCs w:val="4"/>
      </w:rPr>
    </w:pPr>
    <w:r>
      <w:drawing>
        <wp:inline distT="0" distB="0" distL="0" distR="0">
          <wp:extent cx="5764530" cy="1160780"/>
          <wp:effectExtent l="0" t="0" r="0" b="0"/>
          <wp:docPr id="28"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m 2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764530" cy="1160780"/>
                  </a:xfrm>
                  <a:prstGeom prst="rect">
                    <a:avLst/>
                  </a:prstGeom>
                  <a:noFill/>
                  <a:ln>
                    <a:noFill/>
                  </a:ln>
                </pic:spPr>
              </pic:pic>
            </a:graphicData>
          </a:graphic>
        </wp:inline>
      </w:drawing>
    </w:r>
  </w:p>
  <w:p w14:paraId="6F2EC038">
    <w:pPr>
      <w:pStyle w:val="12"/>
      <w:ind w:left="142" w:hanging="284"/>
      <w:rPr>
        <w:sz w:val="4"/>
        <w:szCs w:val="4"/>
      </w:rPr>
    </w:pPr>
  </w:p>
  <w:p w14:paraId="2E8CFCAC">
    <w:pPr>
      <w:pStyle w:val="12"/>
      <w:ind w:left="142" w:hanging="284"/>
      <w:rPr>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5C100D"/>
    <w:multiLevelType w:val="multilevel"/>
    <w:tmpl w:val="1D5C100D"/>
    <w:lvl w:ilvl="0" w:tentative="0">
      <w:start w:val="1"/>
      <w:numFmt w:val="decimal"/>
      <w:pStyle w:val="30"/>
      <w:lvlText w:val="%1."/>
      <w:lvlJc w:val="left"/>
      <w:pPr>
        <w:ind w:left="360" w:hanging="360"/>
      </w:pPr>
      <w:rPr>
        <w:rFonts w:hint="default"/>
        <w:b/>
      </w:rPr>
    </w:lvl>
    <w:lvl w:ilvl="1" w:tentative="0">
      <w:start w:val="1"/>
      <w:numFmt w:val="decimal"/>
      <w:lvlText w:val="%1.%2."/>
      <w:lvlJc w:val="left"/>
      <w:pPr>
        <w:ind w:left="999" w:hanging="432"/>
      </w:pPr>
      <w:rPr>
        <w:rFonts w:hint="default" w:ascii="Arial" w:hAnsi="Arial" w:cs="Arial"/>
        <w:b w:val="0"/>
        <w:i w:val="0"/>
        <w:strike w:val="0"/>
        <w:color w:val="auto"/>
        <w:sz w:val="20"/>
        <w:szCs w:val="20"/>
        <w:u w:val="none"/>
      </w:rPr>
    </w:lvl>
    <w:lvl w:ilvl="2" w:tentative="0">
      <w:start w:val="1"/>
      <w:numFmt w:val="decimal"/>
      <w:lvlText w:val="%1.%2.%3."/>
      <w:lvlJc w:val="left"/>
      <w:pPr>
        <w:ind w:left="1638" w:hanging="504"/>
      </w:pPr>
      <w:rPr>
        <w:rFonts w:hint="default" w:ascii="Arial" w:hAnsi="Arial" w:cs="Arial"/>
        <w:b w:val="0"/>
        <w:i w:val="0"/>
        <w:strike w:val="0"/>
        <w:color w:val="auto"/>
        <w:sz w:val="20"/>
        <w:szCs w:val="20"/>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
    <w:nsid w:val="242D04CF"/>
    <w:multiLevelType w:val="multilevel"/>
    <w:tmpl w:val="242D04CF"/>
    <w:lvl w:ilvl="0" w:tentative="0">
      <w:start w:val="1"/>
      <w:numFmt w:val="lowerLetter"/>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2">
    <w:nsid w:val="243C4BDB"/>
    <w:multiLevelType w:val="multilevel"/>
    <w:tmpl w:val="243C4BDB"/>
    <w:lvl w:ilvl="0" w:tentative="0">
      <w:start w:val="1"/>
      <w:numFmt w:val="decimal"/>
      <w:lvlText w:val="%1."/>
      <w:lvlJc w:val="left"/>
      <w:pPr>
        <w:ind w:left="389" w:hanging="277"/>
      </w:pPr>
      <w:rPr>
        <w:rFonts w:hint="default"/>
        <w:b/>
        <w:bCs/>
        <w:spacing w:val="-2"/>
        <w:w w:val="115"/>
        <w:lang w:val="pt-PT" w:eastAsia="pt-PT" w:bidi="pt-PT"/>
      </w:rPr>
    </w:lvl>
    <w:lvl w:ilvl="1" w:tentative="0">
      <w:start w:val="1"/>
      <w:numFmt w:val="decimal"/>
      <w:lvlText w:val="%1.%2"/>
      <w:lvlJc w:val="left"/>
      <w:pPr>
        <w:ind w:left="1193" w:hanging="625"/>
      </w:pPr>
      <w:rPr>
        <w:rFonts w:hint="default" w:ascii="Arial" w:hAnsi="Arial" w:cs="Arial"/>
        <w:b w:val="0"/>
        <w:bCs w:val="0"/>
        <w:i w:val="0"/>
        <w:iCs/>
        <w:color w:val="auto"/>
        <w:spacing w:val="-4"/>
        <w:w w:val="105"/>
        <w:sz w:val="22"/>
        <w:szCs w:val="22"/>
        <w:lang w:val="pt-PT" w:eastAsia="pt-PT" w:bidi="pt-PT"/>
      </w:rPr>
    </w:lvl>
    <w:lvl w:ilvl="2" w:tentative="0">
      <w:start w:val="1"/>
      <w:numFmt w:val="decimal"/>
      <w:lvlText w:val="%1.%2.%3"/>
      <w:lvlJc w:val="left"/>
      <w:pPr>
        <w:ind w:left="112" w:hanging="625"/>
      </w:pPr>
      <w:rPr>
        <w:rFonts w:hint="default" w:ascii="Arial" w:hAnsi="Arial" w:eastAsia="Tahoma" w:cs="Arial"/>
        <w:b w:val="0"/>
        <w:bCs/>
        <w:i w:val="0"/>
        <w:iCs/>
        <w:spacing w:val="-3"/>
        <w:w w:val="112"/>
        <w:sz w:val="22"/>
        <w:szCs w:val="22"/>
        <w:highlight w:val="none"/>
        <w:lang w:val="pt-PT" w:eastAsia="pt-PT" w:bidi="pt-PT"/>
      </w:rPr>
    </w:lvl>
    <w:lvl w:ilvl="3" w:tentative="0">
      <w:start w:val="1"/>
      <w:numFmt w:val="decimal"/>
      <w:lvlText w:val="%1.%2.%3.%4"/>
      <w:lvlJc w:val="left"/>
      <w:pPr>
        <w:ind w:left="112" w:hanging="625"/>
      </w:pPr>
      <w:rPr>
        <w:rFonts w:hint="default" w:ascii="Arial" w:hAnsi="Arial" w:eastAsia="Tahoma" w:cs="Arial"/>
        <w:b w:val="0"/>
        <w:bCs/>
        <w:spacing w:val="-3"/>
        <w:w w:val="110"/>
        <w:sz w:val="22"/>
        <w:szCs w:val="22"/>
        <w:lang w:val="pt-PT" w:eastAsia="pt-PT" w:bidi="pt-PT"/>
      </w:rPr>
    </w:lvl>
    <w:lvl w:ilvl="4" w:tentative="0">
      <w:start w:val="0"/>
      <w:numFmt w:val="bullet"/>
      <w:lvlText w:val="•"/>
      <w:lvlJc w:val="left"/>
      <w:pPr>
        <w:ind w:left="2003" w:hanging="625"/>
      </w:pPr>
      <w:rPr>
        <w:rFonts w:hint="default"/>
        <w:lang w:val="pt-PT" w:eastAsia="pt-PT" w:bidi="pt-PT"/>
      </w:rPr>
    </w:lvl>
    <w:lvl w:ilvl="5" w:tentative="0">
      <w:start w:val="0"/>
      <w:numFmt w:val="bullet"/>
      <w:lvlText w:val="•"/>
      <w:lvlJc w:val="left"/>
      <w:pPr>
        <w:ind w:left="3447" w:hanging="625"/>
      </w:pPr>
      <w:rPr>
        <w:rFonts w:hint="default"/>
        <w:lang w:val="pt-PT" w:eastAsia="pt-PT" w:bidi="pt-PT"/>
      </w:rPr>
    </w:lvl>
    <w:lvl w:ilvl="6" w:tentative="0">
      <w:start w:val="0"/>
      <w:numFmt w:val="bullet"/>
      <w:lvlText w:val="•"/>
      <w:lvlJc w:val="left"/>
      <w:pPr>
        <w:ind w:left="4891" w:hanging="625"/>
      </w:pPr>
      <w:rPr>
        <w:rFonts w:hint="default"/>
        <w:lang w:val="pt-PT" w:eastAsia="pt-PT" w:bidi="pt-PT"/>
      </w:rPr>
    </w:lvl>
    <w:lvl w:ilvl="7" w:tentative="0">
      <w:start w:val="0"/>
      <w:numFmt w:val="bullet"/>
      <w:lvlText w:val="•"/>
      <w:lvlJc w:val="left"/>
      <w:pPr>
        <w:ind w:left="6335" w:hanging="625"/>
      </w:pPr>
      <w:rPr>
        <w:rFonts w:hint="default"/>
        <w:lang w:val="pt-PT" w:eastAsia="pt-PT" w:bidi="pt-PT"/>
      </w:rPr>
    </w:lvl>
    <w:lvl w:ilvl="8" w:tentative="0">
      <w:start w:val="0"/>
      <w:numFmt w:val="bullet"/>
      <w:lvlText w:val="•"/>
      <w:lvlJc w:val="left"/>
      <w:pPr>
        <w:ind w:left="7778" w:hanging="625"/>
      </w:pPr>
      <w:rPr>
        <w:rFonts w:hint="default"/>
        <w:lang w:val="pt-PT" w:eastAsia="pt-PT" w:bidi="pt-PT"/>
      </w:rPr>
    </w:lvl>
  </w:abstractNum>
  <w:abstractNum w:abstractNumId="3">
    <w:nsid w:val="40DC7FF0"/>
    <w:multiLevelType w:val="multilevel"/>
    <w:tmpl w:val="40DC7FF0"/>
    <w:lvl w:ilvl="0" w:tentative="0">
      <w:start w:val="1"/>
      <w:numFmt w:val="lowerLetter"/>
      <w:lvlText w:val="%1)"/>
      <w:lvlJc w:val="left"/>
      <w:pPr>
        <w:ind w:left="644" w:hanging="360"/>
      </w:pPr>
      <w:rPr>
        <w:rFonts w:hint="default"/>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4">
    <w:nsid w:val="431C5A4F"/>
    <w:multiLevelType w:val="multilevel"/>
    <w:tmpl w:val="431C5A4F"/>
    <w:lvl w:ilvl="0" w:tentative="0">
      <w:start w:val="8"/>
      <w:numFmt w:val="decimal"/>
      <w:lvlText w:val="%1."/>
      <w:lvlJc w:val="left"/>
      <w:pPr>
        <w:ind w:left="465" w:hanging="465"/>
      </w:pPr>
      <w:rPr>
        <w:rFonts w:hint="default"/>
        <w:w w:val="115"/>
      </w:rPr>
    </w:lvl>
    <w:lvl w:ilvl="1" w:tentative="0">
      <w:start w:val="1"/>
      <w:numFmt w:val="decimal"/>
      <w:pStyle w:val="46"/>
      <w:lvlText w:val="%1.%2-"/>
      <w:lvlJc w:val="left"/>
      <w:pPr>
        <w:ind w:left="1146" w:hanging="720"/>
      </w:pPr>
      <w:rPr>
        <w:rFonts w:hint="default"/>
        <w:b/>
        <w:w w:val="115"/>
      </w:rPr>
    </w:lvl>
    <w:lvl w:ilvl="2" w:tentative="0">
      <w:start w:val="1"/>
      <w:numFmt w:val="decimal"/>
      <w:lvlText w:val="%1.%2-%3."/>
      <w:lvlJc w:val="left"/>
      <w:pPr>
        <w:ind w:left="1572" w:hanging="720"/>
      </w:pPr>
      <w:rPr>
        <w:rFonts w:hint="default"/>
        <w:w w:val="115"/>
      </w:rPr>
    </w:lvl>
    <w:lvl w:ilvl="3" w:tentative="0">
      <w:start w:val="1"/>
      <w:numFmt w:val="decimal"/>
      <w:lvlText w:val="%1.%2-%3.%4."/>
      <w:lvlJc w:val="left"/>
      <w:pPr>
        <w:ind w:left="2358" w:hanging="1080"/>
      </w:pPr>
      <w:rPr>
        <w:rFonts w:hint="default"/>
        <w:w w:val="115"/>
      </w:rPr>
    </w:lvl>
    <w:lvl w:ilvl="4" w:tentative="0">
      <w:start w:val="1"/>
      <w:numFmt w:val="decimal"/>
      <w:lvlText w:val="%1.%2-%3.%4.%5."/>
      <w:lvlJc w:val="left"/>
      <w:pPr>
        <w:ind w:left="2784" w:hanging="1080"/>
      </w:pPr>
      <w:rPr>
        <w:rFonts w:hint="default"/>
        <w:w w:val="115"/>
      </w:rPr>
    </w:lvl>
    <w:lvl w:ilvl="5" w:tentative="0">
      <w:start w:val="1"/>
      <w:numFmt w:val="decimal"/>
      <w:lvlText w:val="%1.%2-%3.%4.%5.%6."/>
      <w:lvlJc w:val="left"/>
      <w:pPr>
        <w:ind w:left="3570" w:hanging="1440"/>
      </w:pPr>
      <w:rPr>
        <w:rFonts w:hint="default"/>
        <w:w w:val="115"/>
      </w:rPr>
    </w:lvl>
    <w:lvl w:ilvl="6" w:tentative="0">
      <w:start w:val="1"/>
      <w:numFmt w:val="decimal"/>
      <w:lvlText w:val="%1.%2-%3.%4.%5.%6.%7."/>
      <w:lvlJc w:val="left"/>
      <w:pPr>
        <w:ind w:left="3996" w:hanging="1440"/>
      </w:pPr>
      <w:rPr>
        <w:rFonts w:hint="default"/>
        <w:w w:val="115"/>
      </w:rPr>
    </w:lvl>
    <w:lvl w:ilvl="7" w:tentative="0">
      <w:start w:val="1"/>
      <w:numFmt w:val="decimal"/>
      <w:lvlText w:val="%1.%2-%3.%4.%5.%6.%7.%8."/>
      <w:lvlJc w:val="left"/>
      <w:pPr>
        <w:ind w:left="4782" w:hanging="1800"/>
      </w:pPr>
      <w:rPr>
        <w:rFonts w:hint="default"/>
        <w:w w:val="115"/>
      </w:rPr>
    </w:lvl>
    <w:lvl w:ilvl="8" w:tentative="0">
      <w:start w:val="1"/>
      <w:numFmt w:val="decimal"/>
      <w:lvlText w:val="%1.%2-%3.%4.%5.%6.%7.%8.%9."/>
      <w:lvlJc w:val="left"/>
      <w:pPr>
        <w:ind w:left="5208" w:hanging="1800"/>
      </w:pPr>
      <w:rPr>
        <w:rFonts w:hint="default"/>
        <w:w w:val="115"/>
      </w:rPr>
    </w:lvl>
  </w:abstractNum>
  <w:abstractNum w:abstractNumId="5">
    <w:nsid w:val="5CCB1A1C"/>
    <w:multiLevelType w:val="multilevel"/>
    <w:tmpl w:val="5CCB1A1C"/>
    <w:lvl w:ilvl="0" w:tentative="0">
      <w:start w:val="1"/>
      <w:numFmt w:val="lowerLetter"/>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6">
    <w:nsid w:val="61DD361E"/>
    <w:multiLevelType w:val="multilevel"/>
    <w:tmpl w:val="61DD361E"/>
    <w:lvl w:ilvl="0" w:tentative="0">
      <w:start w:val="1"/>
      <w:numFmt w:val="decimal"/>
      <w:pStyle w:val="48"/>
      <w:suff w:val="space"/>
      <w:lvlText w:val="%1."/>
      <w:lvlJc w:val="left"/>
      <w:pPr>
        <w:ind w:left="0" w:firstLine="0"/>
      </w:pPr>
      <w:rPr>
        <w:rFonts w:hint="default"/>
        <w:b/>
        <w:i w:val="0"/>
      </w:rPr>
    </w:lvl>
    <w:lvl w:ilvl="1" w:tentative="0">
      <w:start w:val="1"/>
      <w:numFmt w:val="decimal"/>
      <w:suff w:val="space"/>
      <w:lvlText w:val="%1.%2."/>
      <w:lvlJc w:val="left"/>
      <w:pPr>
        <w:ind w:left="142" w:firstLine="0"/>
      </w:pPr>
      <w:rPr>
        <w:rFonts w:hint="default"/>
        <w:b w:val="0"/>
        <w:i w:val="0"/>
        <w:color w:val="auto"/>
      </w:rPr>
    </w:lvl>
    <w:lvl w:ilvl="2" w:tentative="0">
      <w:start w:val="1"/>
      <w:numFmt w:val="decimal"/>
      <w:suff w:val="space"/>
      <w:lvlText w:val="%1.%2.%3."/>
      <w:lvlJc w:val="left"/>
      <w:pPr>
        <w:ind w:left="567" w:firstLine="0"/>
      </w:pPr>
      <w:rPr>
        <w:rFonts w:hint="default"/>
        <w:b w:val="0"/>
        <w:i w:val="0"/>
      </w:rPr>
    </w:lvl>
    <w:lvl w:ilvl="3" w:tentative="0">
      <w:start w:val="1"/>
      <w:numFmt w:val="decimal"/>
      <w:suff w:val="space"/>
      <w:lvlText w:val="%1.%2.%3.%4."/>
      <w:lvlJc w:val="left"/>
      <w:pPr>
        <w:ind w:left="851" w:firstLine="0"/>
      </w:pPr>
      <w:rPr>
        <w:rFonts w:hint="default"/>
        <w:b/>
        <w:i w:val="0"/>
      </w:rPr>
    </w:lvl>
    <w:lvl w:ilvl="4" w:tentative="0">
      <w:start w:val="1"/>
      <w:numFmt w:val="decimal"/>
      <w:suff w:val="space"/>
      <w:lvlText w:val="%1.%2.%3.%4.%5."/>
      <w:lvlJc w:val="left"/>
      <w:pPr>
        <w:ind w:left="1134" w:firstLine="0"/>
      </w:pPr>
      <w:rPr>
        <w:rFonts w:hint="default"/>
        <w:b/>
        <w:i w:val="0"/>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num w:numId="1">
    <w:abstractNumId w:val="0"/>
  </w:num>
  <w:num w:numId="2">
    <w:abstractNumId w:val="4"/>
  </w:num>
  <w:num w:numId="3">
    <w:abstractNumId w:val="6"/>
  </w:num>
  <w:num w:numId="4">
    <w:abstractNumId w:val="2"/>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0"/>
  <w:bordersDoNotSurroundFooter w:val="0"/>
  <w:documentProtection w:enforcement="0"/>
  <w:defaultTabStop w:val="720"/>
  <w:hyphenationZone w:val="425"/>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176F"/>
    <w:rsid w:val="000002AE"/>
    <w:rsid w:val="00001820"/>
    <w:rsid w:val="000051B3"/>
    <w:rsid w:val="000075A2"/>
    <w:rsid w:val="00010759"/>
    <w:rsid w:val="000158B7"/>
    <w:rsid w:val="00015EA9"/>
    <w:rsid w:val="000166BA"/>
    <w:rsid w:val="000172CA"/>
    <w:rsid w:val="000203AC"/>
    <w:rsid w:val="00023C80"/>
    <w:rsid w:val="00026157"/>
    <w:rsid w:val="00026405"/>
    <w:rsid w:val="000314FD"/>
    <w:rsid w:val="00031AD9"/>
    <w:rsid w:val="00032296"/>
    <w:rsid w:val="00032F44"/>
    <w:rsid w:val="00036B0A"/>
    <w:rsid w:val="00036D82"/>
    <w:rsid w:val="00036F9F"/>
    <w:rsid w:val="00037BB2"/>
    <w:rsid w:val="0004131A"/>
    <w:rsid w:val="00046C25"/>
    <w:rsid w:val="0005070F"/>
    <w:rsid w:val="00051530"/>
    <w:rsid w:val="00057956"/>
    <w:rsid w:val="00061478"/>
    <w:rsid w:val="00063632"/>
    <w:rsid w:val="0006411E"/>
    <w:rsid w:val="00065107"/>
    <w:rsid w:val="00066DE9"/>
    <w:rsid w:val="0007496A"/>
    <w:rsid w:val="00074F23"/>
    <w:rsid w:val="00075CB4"/>
    <w:rsid w:val="00075CD7"/>
    <w:rsid w:val="00077411"/>
    <w:rsid w:val="00084C4A"/>
    <w:rsid w:val="00084D11"/>
    <w:rsid w:val="0008658D"/>
    <w:rsid w:val="00087909"/>
    <w:rsid w:val="00087D3C"/>
    <w:rsid w:val="000909E5"/>
    <w:rsid w:val="000927E8"/>
    <w:rsid w:val="00092FDD"/>
    <w:rsid w:val="000A45F3"/>
    <w:rsid w:val="000A48F5"/>
    <w:rsid w:val="000A650D"/>
    <w:rsid w:val="000B0154"/>
    <w:rsid w:val="000B6052"/>
    <w:rsid w:val="000B71F1"/>
    <w:rsid w:val="000C0A24"/>
    <w:rsid w:val="000C59F2"/>
    <w:rsid w:val="000C6CE2"/>
    <w:rsid w:val="000C7E5E"/>
    <w:rsid w:val="000E072A"/>
    <w:rsid w:val="000E1C4A"/>
    <w:rsid w:val="000E3F31"/>
    <w:rsid w:val="000E4419"/>
    <w:rsid w:val="000E4C4C"/>
    <w:rsid w:val="000F02C0"/>
    <w:rsid w:val="000F3309"/>
    <w:rsid w:val="000F3929"/>
    <w:rsid w:val="000F3AE2"/>
    <w:rsid w:val="00101999"/>
    <w:rsid w:val="00102667"/>
    <w:rsid w:val="00103D55"/>
    <w:rsid w:val="00103E09"/>
    <w:rsid w:val="00104314"/>
    <w:rsid w:val="001048F6"/>
    <w:rsid w:val="00105C65"/>
    <w:rsid w:val="001069FC"/>
    <w:rsid w:val="00107A8D"/>
    <w:rsid w:val="00110BC9"/>
    <w:rsid w:val="00111A3C"/>
    <w:rsid w:val="001121BD"/>
    <w:rsid w:val="00114656"/>
    <w:rsid w:val="001147EB"/>
    <w:rsid w:val="00115365"/>
    <w:rsid w:val="00116D8D"/>
    <w:rsid w:val="00121956"/>
    <w:rsid w:val="00122514"/>
    <w:rsid w:val="00124DB1"/>
    <w:rsid w:val="001250D3"/>
    <w:rsid w:val="00133A53"/>
    <w:rsid w:val="00135EB5"/>
    <w:rsid w:val="00136755"/>
    <w:rsid w:val="0013757D"/>
    <w:rsid w:val="001376C2"/>
    <w:rsid w:val="0014056F"/>
    <w:rsid w:val="001405D0"/>
    <w:rsid w:val="00141A12"/>
    <w:rsid w:val="001438AF"/>
    <w:rsid w:val="001448E1"/>
    <w:rsid w:val="0015488C"/>
    <w:rsid w:val="00157B8F"/>
    <w:rsid w:val="00160650"/>
    <w:rsid w:val="00162E60"/>
    <w:rsid w:val="00163AD3"/>
    <w:rsid w:val="001654FE"/>
    <w:rsid w:val="00166F21"/>
    <w:rsid w:val="001720C8"/>
    <w:rsid w:val="00172BD4"/>
    <w:rsid w:val="00174154"/>
    <w:rsid w:val="00175520"/>
    <w:rsid w:val="00175C9D"/>
    <w:rsid w:val="00180EA1"/>
    <w:rsid w:val="00181F53"/>
    <w:rsid w:val="00182F43"/>
    <w:rsid w:val="00183451"/>
    <w:rsid w:val="00186A85"/>
    <w:rsid w:val="001871DC"/>
    <w:rsid w:val="001939BA"/>
    <w:rsid w:val="00196484"/>
    <w:rsid w:val="00197819"/>
    <w:rsid w:val="001A082B"/>
    <w:rsid w:val="001A24C1"/>
    <w:rsid w:val="001A280D"/>
    <w:rsid w:val="001A45C9"/>
    <w:rsid w:val="001A59E1"/>
    <w:rsid w:val="001A63D8"/>
    <w:rsid w:val="001A7518"/>
    <w:rsid w:val="001B08B6"/>
    <w:rsid w:val="001B1E72"/>
    <w:rsid w:val="001B30C4"/>
    <w:rsid w:val="001B6ECF"/>
    <w:rsid w:val="001C2463"/>
    <w:rsid w:val="001C5EDE"/>
    <w:rsid w:val="001D05DE"/>
    <w:rsid w:val="001D2AF8"/>
    <w:rsid w:val="001D384A"/>
    <w:rsid w:val="001D7133"/>
    <w:rsid w:val="001E06CF"/>
    <w:rsid w:val="001E4EBA"/>
    <w:rsid w:val="001E6AD1"/>
    <w:rsid w:val="001E6B91"/>
    <w:rsid w:val="001F007A"/>
    <w:rsid w:val="001F1D58"/>
    <w:rsid w:val="001F463D"/>
    <w:rsid w:val="001F585B"/>
    <w:rsid w:val="001F5B4F"/>
    <w:rsid w:val="001F6248"/>
    <w:rsid w:val="00200AFA"/>
    <w:rsid w:val="002014FE"/>
    <w:rsid w:val="002015CC"/>
    <w:rsid w:val="00202622"/>
    <w:rsid w:val="002055A3"/>
    <w:rsid w:val="00207AEE"/>
    <w:rsid w:val="002107D6"/>
    <w:rsid w:val="00211788"/>
    <w:rsid w:val="00212C7C"/>
    <w:rsid w:val="00214D56"/>
    <w:rsid w:val="00216E78"/>
    <w:rsid w:val="002203B2"/>
    <w:rsid w:val="00220D19"/>
    <w:rsid w:val="002213CC"/>
    <w:rsid w:val="00224489"/>
    <w:rsid w:val="00226F72"/>
    <w:rsid w:val="0023437A"/>
    <w:rsid w:val="0023584D"/>
    <w:rsid w:val="00235D4D"/>
    <w:rsid w:val="00237223"/>
    <w:rsid w:val="00240569"/>
    <w:rsid w:val="00243A1B"/>
    <w:rsid w:val="00243FCD"/>
    <w:rsid w:val="00245A5A"/>
    <w:rsid w:val="00246F0D"/>
    <w:rsid w:val="002478EA"/>
    <w:rsid w:val="00251F88"/>
    <w:rsid w:val="0025480C"/>
    <w:rsid w:val="00262D77"/>
    <w:rsid w:val="00263AD9"/>
    <w:rsid w:val="00263B24"/>
    <w:rsid w:val="00267271"/>
    <w:rsid w:val="00270C11"/>
    <w:rsid w:val="00272D5A"/>
    <w:rsid w:val="002749E4"/>
    <w:rsid w:val="002762EF"/>
    <w:rsid w:val="002812F8"/>
    <w:rsid w:val="00282686"/>
    <w:rsid w:val="00282A8C"/>
    <w:rsid w:val="0028534D"/>
    <w:rsid w:val="002853C8"/>
    <w:rsid w:val="002907F1"/>
    <w:rsid w:val="002930BB"/>
    <w:rsid w:val="002939ED"/>
    <w:rsid w:val="002942DC"/>
    <w:rsid w:val="002A0D39"/>
    <w:rsid w:val="002A4300"/>
    <w:rsid w:val="002A56F3"/>
    <w:rsid w:val="002A6B3F"/>
    <w:rsid w:val="002A782B"/>
    <w:rsid w:val="002A7CE5"/>
    <w:rsid w:val="002B1587"/>
    <w:rsid w:val="002B1FA9"/>
    <w:rsid w:val="002B43BE"/>
    <w:rsid w:val="002C0DF3"/>
    <w:rsid w:val="002C1970"/>
    <w:rsid w:val="002C3D69"/>
    <w:rsid w:val="002D202B"/>
    <w:rsid w:val="002D2F45"/>
    <w:rsid w:val="002D2FE1"/>
    <w:rsid w:val="002D3812"/>
    <w:rsid w:val="002D498C"/>
    <w:rsid w:val="002D7F51"/>
    <w:rsid w:val="002D7FCB"/>
    <w:rsid w:val="002E191D"/>
    <w:rsid w:val="002E192B"/>
    <w:rsid w:val="002E2E92"/>
    <w:rsid w:val="002E3C07"/>
    <w:rsid w:val="002E4D58"/>
    <w:rsid w:val="002F0575"/>
    <w:rsid w:val="002F0850"/>
    <w:rsid w:val="002F232A"/>
    <w:rsid w:val="002F272C"/>
    <w:rsid w:val="002F3136"/>
    <w:rsid w:val="002F377B"/>
    <w:rsid w:val="002F7E02"/>
    <w:rsid w:val="00300374"/>
    <w:rsid w:val="00301F84"/>
    <w:rsid w:val="00302A06"/>
    <w:rsid w:val="003030C8"/>
    <w:rsid w:val="00303347"/>
    <w:rsid w:val="0030499E"/>
    <w:rsid w:val="003052A9"/>
    <w:rsid w:val="0030718D"/>
    <w:rsid w:val="00313DA5"/>
    <w:rsid w:val="003215AE"/>
    <w:rsid w:val="00323338"/>
    <w:rsid w:val="00323827"/>
    <w:rsid w:val="00323D45"/>
    <w:rsid w:val="00324639"/>
    <w:rsid w:val="00326944"/>
    <w:rsid w:val="0033273E"/>
    <w:rsid w:val="003335BE"/>
    <w:rsid w:val="00334635"/>
    <w:rsid w:val="00334F37"/>
    <w:rsid w:val="003370DC"/>
    <w:rsid w:val="00340539"/>
    <w:rsid w:val="003435F3"/>
    <w:rsid w:val="00343C8B"/>
    <w:rsid w:val="00344C03"/>
    <w:rsid w:val="00344C67"/>
    <w:rsid w:val="00344D17"/>
    <w:rsid w:val="00345B89"/>
    <w:rsid w:val="003467A0"/>
    <w:rsid w:val="0035056C"/>
    <w:rsid w:val="00351024"/>
    <w:rsid w:val="00352149"/>
    <w:rsid w:val="00354C12"/>
    <w:rsid w:val="00360C6D"/>
    <w:rsid w:val="00361A29"/>
    <w:rsid w:val="003701D3"/>
    <w:rsid w:val="003722D4"/>
    <w:rsid w:val="003762C1"/>
    <w:rsid w:val="0037694B"/>
    <w:rsid w:val="00376D78"/>
    <w:rsid w:val="00377975"/>
    <w:rsid w:val="0038055A"/>
    <w:rsid w:val="0038188C"/>
    <w:rsid w:val="00381A02"/>
    <w:rsid w:val="00384439"/>
    <w:rsid w:val="003866C8"/>
    <w:rsid w:val="00386886"/>
    <w:rsid w:val="00386E03"/>
    <w:rsid w:val="00387BFA"/>
    <w:rsid w:val="0039013C"/>
    <w:rsid w:val="003910FE"/>
    <w:rsid w:val="00392240"/>
    <w:rsid w:val="00392545"/>
    <w:rsid w:val="003935D5"/>
    <w:rsid w:val="003959E0"/>
    <w:rsid w:val="00397AE0"/>
    <w:rsid w:val="003A2064"/>
    <w:rsid w:val="003A5492"/>
    <w:rsid w:val="003A5CD8"/>
    <w:rsid w:val="003A6ACE"/>
    <w:rsid w:val="003A7172"/>
    <w:rsid w:val="003B056C"/>
    <w:rsid w:val="003B4303"/>
    <w:rsid w:val="003B457C"/>
    <w:rsid w:val="003B4894"/>
    <w:rsid w:val="003B5250"/>
    <w:rsid w:val="003C1FCA"/>
    <w:rsid w:val="003C2CF6"/>
    <w:rsid w:val="003C2E92"/>
    <w:rsid w:val="003C4B7B"/>
    <w:rsid w:val="003C6688"/>
    <w:rsid w:val="003D1F62"/>
    <w:rsid w:val="003D4848"/>
    <w:rsid w:val="003D7B39"/>
    <w:rsid w:val="003D7D34"/>
    <w:rsid w:val="003D7E4D"/>
    <w:rsid w:val="003E02F4"/>
    <w:rsid w:val="003E0AD6"/>
    <w:rsid w:val="003E280D"/>
    <w:rsid w:val="003E2CD0"/>
    <w:rsid w:val="003E390A"/>
    <w:rsid w:val="003E4BA8"/>
    <w:rsid w:val="003E7BFB"/>
    <w:rsid w:val="003F06F3"/>
    <w:rsid w:val="003F089D"/>
    <w:rsid w:val="003F3BA1"/>
    <w:rsid w:val="003F4C89"/>
    <w:rsid w:val="003F5E04"/>
    <w:rsid w:val="003F70A5"/>
    <w:rsid w:val="00401FEC"/>
    <w:rsid w:val="00402559"/>
    <w:rsid w:val="004063A5"/>
    <w:rsid w:val="00406D03"/>
    <w:rsid w:val="00407966"/>
    <w:rsid w:val="00407C23"/>
    <w:rsid w:val="00410EA9"/>
    <w:rsid w:val="004140C0"/>
    <w:rsid w:val="00414142"/>
    <w:rsid w:val="00414242"/>
    <w:rsid w:val="00414CB7"/>
    <w:rsid w:val="004154FB"/>
    <w:rsid w:val="00415CB4"/>
    <w:rsid w:val="00421997"/>
    <w:rsid w:val="004243FB"/>
    <w:rsid w:val="0042614C"/>
    <w:rsid w:val="0042660B"/>
    <w:rsid w:val="00430615"/>
    <w:rsid w:val="0044025A"/>
    <w:rsid w:val="00442D27"/>
    <w:rsid w:val="004447A2"/>
    <w:rsid w:val="00447A2D"/>
    <w:rsid w:val="0045129B"/>
    <w:rsid w:val="00451A0C"/>
    <w:rsid w:val="00455F52"/>
    <w:rsid w:val="00456BD6"/>
    <w:rsid w:val="004573BF"/>
    <w:rsid w:val="0046163F"/>
    <w:rsid w:val="0046176F"/>
    <w:rsid w:val="0046230A"/>
    <w:rsid w:val="00463912"/>
    <w:rsid w:val="00467BC6"/>
    <w:rsid w:val="0047027C"/>
    <w:rsid w:val="00470745"/>
    <w:rsid w:val="004724BC"/>
    <w:rsid w:val="00472871"/>
    <w:rsid w:val="0047329A"/>
    <w:rsid w:val="004739CE"/>
    <w:rsid w:val="00473DED"/>
    <w:rsid w:val="004808AD"/>
    <w:rsid w:val="00486AE7"/>
    <w:rsid w:val="004912E4"/>
    <w:rsid w:val="0049154F"/>
    <w:rsid w:val="00494476"/>
    <w:rsid w:val="00496A16"/>
    <w:rsid w:val="004972EA"/>
    <w:rsid w:val="004A1240"/>
    <w:rsid w:val="004A3EBE"/>
    <w:rsid w:val="004A6277"/>
    <w:rsid w:val="004A67B9"/>
    <w:rsid w:val="004B1905"/>
    <w:rsid w:val="004C0165"/>
    <w:rsid w:val="004C1998"/>
    <w:rsid w:val="004C3726"/>
    <w:rsid w:val="004C7E17"/>
    <w:rsid w:val="004D0819"/>
    <w:rsid w:val="004D0B10"/>
    <w:rsid w:val="004D120D"/>
    <w:rsid w:val="004D1EDD"/>
    <w:rsid w:val="004D1EF6"/>
    <w:rsid w:val="004D56D5"/>
    <w:rsid w:val="004D5F3B"/>
    <w:rsid w:val="004D7B24"/>
    <w:rsid w:val="004E0836"/>
    <w:rsid w:val="004E1061"/>
    <w:rsid w:val="004E6D1D"/>
    <w:rsid w:val="004E78CB"/>
    <w:rsid w:val="004F18A8"/>
    <w:rsid w:val="004F27D9"/>
    <w:rsid w:val="004F487F"/>
    <w:rsid w:val="004F4E5A"/>
    <w:rsid w:val="004F5BC7"/>
    <w:rsid w:val="004F6316"/>
    <w:rsid w:val="00502AFF"/>
    <w:rsid w:val="00504EC5"/>
    <w:rsid w:val="0050784F"/>
    <w:rsid w:val="00507871"/>
    <w:rsid w:val="00510C89"/>
    <w:rsid w:val="00511082"/>
    <w:rsid w:val="00511458"/>
    <w:rsid w:val="00512DEB"/>
    <w:rsid w:val="005134FC"/>
    <w:rsid w:val="00513F42"/>
    <w:rsid w:val="00514E43"/>
    <w:rsid w:val="00515622"/>
    <w:rsid w:val="00516419"/>
    <w:rsid w:val="00520DA7"/>
    <w:rsid w:val="005243B3"/>
    <w:rsid w:val="0052506C"/>
    <w:rsid w:val="00525D17"/>
    <w:rsid w:val="00527403"/>
    <w:rsid w:val="00527E19"/>
    <w:rsid w:val="00540921"/>
    <w:rsid w:val="0054222E"/>
    <w:rsid w:val="00542DB6"/>
    <w:rsid w:val="00543F4A"/>
    <w:rsid w:val="0054586F"/>
    <w:rsid w:val="00546808"/>
    <w:rsid w:val="00546A48"/>
    <w:rsid w:val="00546BEC"/>
    <w:rsid w:val="00547732"/>
    <w:rsid w:val="00551776"/>
    <w:rsid w:val="005567AB"/>
    <w:rsid w:val="00560F9F"/>
    <w:rsid w:val="0056236E"/>
    <w:rsid w:val="00563EAD"/>
    <w:rsid w:val="00565987"/>
    <w:rsid w:val="00565A80"/>
    <w:rsid w:val="0057174A"/>
    <w:rsid w:val="00572C7F"/>
    <w:rsid w:val="00575D80"/>
    <w:rsid w:val="00580940"/>
    <w:rsid w:val="005875BA"/>
    <w:rsid w:val="005932E5"/>
    <w:rsid w:val="00596C4F"/>
    <w:rsid w:val="005970AE"/>
    <w:rsid w:val="00597BEF"/>
    <w:rsid w:val="005A0CFC"/>
    <w:rsid w:val="005A2C7F"/>
    <w:rsid w:val="005A439D"/>
    <w:rsid w:val="005A4430"/>
    <w:rsid w:val="005A4DEE"/>
    <w:rsid w:val="005A64CC"/>
    <w:rsid w:val="005B4925"/>
    <w:rsid w:val="005B4C08"/>
    <w:rsid w:val="005B5F6D"/>
    <w:rsid w:val="005B6453"/>
    <w:rsid w:val="005C0929"/>
    <w:rsid w:val="005C0C22"/>
    <w:rsid w:val="005C4C34"/>
    <w:rsid w:val="005C50C2"/>
    <w:rsid w:val="005C5A79"/>
    <w:rsid w:val="005C6041"/>
    <w:rsid w:val="005C688C"/>
    <w:rsid w:val="005D13EC"/>
    <w:rsid w:val="005D1650"/>
    <w:rsid w:val="005D2A58"/>
    <w:rsid w:val="005D4646"/>
    <w:rsid w:val="005E52EA"/>
    <w:rsid w:val="005E6027"/>
    <w:rsid w:val="005E628F"/>
    <w:rsid w:val="005E6EFE"/>
    <w:rsid w:val="005F0C8B"/>
    <w:rsid w:val="005F6312"/>
    <w:rsid w:val="005F67D1"/>
    <w:rsid w:val="006007D0"/>
    <w:rsid w:val="00603A24"/>
    <w:rsid w:val="0061270F"/>
    <w:rsid w:val="006146B7"/>
    <w:rsid w:val="006148DB"/>
    <w:rsid w:val="006150D9"/>
    <w:rsid w:val="00616CE4"/>
    <w:rsid w:val="006177AE"/>
    <w:rsid w:val="00621022"/>
    <w:rsid w:val="006259EC"/>
    <w:rsid w:val="00627646"/>
    <w:rsid w:val="00630A17"/>
    <w:rsid w:val="00631113"/>
    <w:rsid w:val="00632F36"/>
    <w:rsid w:val="00636552"/>
    <w:rsid w:val="00637A18"/>
    <w:rsid w:val="00646D18"/>
    <w:rsid w:val="00650E85"/>
    <w:rsid w:val="006524E1"/>
    <w:rsid w:val="006526EC"/>
    <w:rsid w:val="006533A1"/>
    <w:rsid w:val="006547A8"/>
    <w:rsid w:val="00657A20"/>
    <w:rsid w:val="00657B9A"/>
    <w:rsid w:val="0066175E"/>
    <w:rsid w:val="006618D1"/>
    <w:rsid w:val="006635BB"/>
    <w:rsid w:val="006637B5"/>
    <w:rsid w:val="00665EE8"/>
    <w:rsid w:val="00667296"/>
    <w:rsid w:val="0067149B"/>
    <w:rsid w:val="0067222F"/>
    <w:rsid w:val="00673F10"/>
    <w:rsid w:val="00675C49"/>
    <w:rsid w:val="00677E80"/>
    <w:rsid w:val="006805DD"/>
    <w:rsid w:val="0068143A"/>
    <w:rsid w:val="00681C40"/>
    <w:rsid w:val="006840A2"/>
    <w:rsid w:val="0068700E"/>
    <w:rsid w:val="006874FB"/>
    <w:rsid w:val="006957F4"/>
    <w:rsid w:val="00695B6C"/>
    <w:rsid w:val="006962AA"/>
    <w:rsid w:val="0069679F"/>
    <w:rsid w:val="006A56F7"/>
    <w:rsid w:val="006B174A"/>
    <w:rsid w:val="006B3314"/>
    <w:rsid w:val="006B4F6B"/>
    <w:rsid w:val="006B5E93"/>
    <w:rsid w:val="006B6688"/>
    <w:rsid w:val="006B6DAE"/>
    <w:rsid w:val="006C049D"/>
    <w:rsid w:val="006C1A75"/>
    <w:rsid w:val="006C362B"/>
    <w:rsid w:val="006C53B6"/>
    <w:rsid w:val="006C540E"/>
    <w:rsid w:val="006C66B7"/>
    <w:rsid w:val="006C6AC6"/>
    <w:rsid w:val="006C6B58"/>
    <w:rsid w:val="006C76D7"/>
    <w:rsid w:val="006C7856"/>
    <w:rsid w:val="006D025F"/>
    <w:rsid w:val="006D0AFE"/>
    <w:rsid w:val="006D1D81"/>
    <w:rsid w:val="006D24F3"/>
    <w:rsid w:val="006F1640"/>
    <w:rsid w:val="006F2AC5"/>
    <w:rsid w:val="006F2D4F"/>
    <w:rsid w:val="006F5C63"/>
    <w:rsid w:val="006F5EC9"/>
    <w:rsid w:val="006F703F"/>
    <w:rsid w:val="0070000D"/>
    <w:rsid w:val="007018F9"/>
    <w:rsid w:val="0070479E"/>
    <w:rsid w:val="00710A0F"/>
    <w:rsid w:val="00710D5B"/>
    <w:rsid w:val="00711D6A"/>
    <w:rsid w:val="007157BE"/>
    <w:rsid w:val="00716AB0"/>
    <w:rsid w:val="00717C4C"/>
    <w:rsid w:val="00720220"/>
    <w:rsid w:val="007214AC"/>
    <w:rsid w:val="007215D4"/>
    <w:rsid w:val="007218CC"/>
    <w:rsid w:val="007223A3"/>
    <w:rsid w:val="00723B2A"/>
    <w:rsid w:val="007315EC"/>
    <w:rsid w:val="00732632"/>
    <w:rsid w:val="0073715B"/>
    <w:rsid w:val="00737CA8"/>
    <w:rsid w:val="00741098"/>
    <w:rsid w:val="007420F3"/>
    <w:rsid w:val="00743379"/>
    <w:rsid w:val="0074543D"/>
    <w:rsid w:val="00745CE1"/>
    <w:rsid w:val="00746C7D"/>
    <w:rsid w:val="007504ED"/>
    <w:rsid w:val="00751511"/>
    <w:rsid w:val="00762C4D"/>
    <w:rsid w:val="007635B6"/>
    <w:rsid w:val="00763E0F"/>
    <w:rsid w:val="0076706F"/>
    <w:rsid w:val="007670D7"/>
    <w:rsid w:val="0077331B"/>
    <w:rsid w:val="00773962"/>
    <w:rsid w:val="00773975"/>
    <w:rsid w:val="0077471D"/>
    <w:rsid w:val="0077689B"/>
    <w:rsid w:val="007769BF"/>
    <w:rsid w:val="007779DB"/>
    <w:rsid w:val="0078071A"/>
    <w:rsid w:val="00783BAE"/>
    <w:rsid w:val="007845CE"/>
    <w:rsid w:val="0078499E"/>
    <w:rsid w:val="0078511E"/>
    <w:rsid w:val="00785278"/>
    <w:rsid w:val="00785E5B"/>
    <w:rsid w:val="00786A1F"/>
    <w:rsid w:val="007875F8"/>
    <w:rsid w:val="007910A3"/>
    <w:rsid w:val="00792031"/>
    <w:rsid w:val="007A0B7A"/>
    <w:rsid w:val="007A5F04"/>
    <w:rsid w:val="007B034E"/>
    <w:rsid w:val="007B0F98"/>
    <w:rsid w:val="007B1704"/>
    <w:rsid w:val="007B2E28"/>
    <w:rsid w:val="007B2E53"/>
    <w:rsid w:val="007B430E"/>
    <w:rsid w:val="007B6FF3"/>
    <w:rsid w:val="007C0C22"/>
    <w:rsid w:val="007C125B"/>
    <w:rsid w:val="007C137F"/>
    <w:rsid w:val="007C27DA"/>
    <w:rsid w:val="007C3414"/>
    <w:rsid w:val="007C4D1C"/>
    <w:rsid w:val="007C5775"/>
    <w:rsid w:val="007C5A0B"/>
    <w:rsid w:val="007D0802"/>
    <w:rsid w:val="007D09DE"/>
    <w:rsid w:val="007D0D75"/>
    <w:rsid w:val="007D41AA"/>
    <w:rsid w:val="007D70D4"/>
    <w:rsid w:val="007E1AD0"/>
    <w:rsid w:val="007E2067"/>
    <w:rsid w:val="007E2D89"/>
    <w:rsid w:val="007E3BA8"/>
    <w:rsid w:val="007E436C"/>
    <w:rsid w:val="007E6FF5"/>
    <w:rsid w:val="007E78B5"/>
    <w:rsid w:val="007F228B"/>
    <w:rsid w:val="007F2D8A"/>
    <w:rsid w:val="007F3FDA"/>
    <w:rsid w:val="007F403E"/>
    <w:rsid w:val="007F6BB0"/>
    <w:rsid w:val="007F6F14"/>
    <w:rsid w:val="007F7339"/>
    <w:rsid w:val="00801289"/>
    <w:rsid w:val="00801A8C"/>
    <w:rsid w:val="0080409E"/>
    <w:rsid w:val="0081026B"/>
    <w:rsid w:val="00814053"/>
    <w:rsid w:val="00814119"/>
    <w:rsid w:val="00814E53"/>
    <w:rsid w:val="0082165C"/>
    <w:rsid w:val="008243C5"/>
    <w:rsid w:val="0082784E"/>
    <w:rsid w:val="00830041"/>
    <w:rsid w:val="008310EB"/>
    <w:rsid w:val="008334A4"/>
    <w:rsid w:val="00835ACC"/>
    <w:rsid w:val="0083638A"/>
    <w:rsid w:val="00836EEF"/>
    <w:rsid w:val="008509E3"/>
    <w:rsid w:val="008550A9"/>
    <w:rsid w:val="00857937"/>
    <w:rsid w:val="0086105B"/>
    <w:rsid w:val="0086295B"/>
    <w:rsid w:val="00864092"/>
    <w:rsid w:val="00866340"/>
    <w:rsid w:val="00866F7D"/>
    <w:rsid w:val="00871B95"/>
    <w:rsid w:val="00872B09"/>
    <w:rsid w:val="00872B95"/>
    <w:rsid w:val="00881838"/>
    <w:rsid w:val="00882D84"/>
    <w:rsid w:val="00883D3D"/>
    <w:rsid w:val="00884FB3"/>
    <w:rsid w:val="00885410"/>
    <w:rsid w:val="0088549E"/>
    <w:rsid w:val="0088649D"/>
    <w:rsid w:val="0088743B"/>
    <w:rsid w:val="00890342"/>
    <w:rsid w:val="0089063B"/>
    <w:rsid w:val="00890C7D"/>
    <w:rsid w:val="00892407"/>
    <w:rsid w:val="00893FFE"/>
    <w:rsid w:val="0089623A"/>
    <w:rsid w:val="00897DF6"/>
    <w:rsid w:val="00897EA7"/>
    <w:rsid w:val="008A0BA5"/>
    <w:rsid w:val="008A14A4"/>
    <w:rsid w:val="008A2135"/>
    <w:rsid w:val="008A2208"/>
    <w:rsid w:val="008A2EAD"/>
    <w:rsid w:val="008A4054"/>
    <w:rsid w:val="008A58A4"/>
    <w:rsid w:val="008B027D"/>
    <w:rsid w:val="008B0E62"/>
    <w:rsid w:val="008B1A3D"/>
    <w:rsid w:val="008B1B1D"/>
    <w:rsid w:val="008B23F4"/>
    <w:rsid w:val="008B277F"/>
    <w:rsid w:val="008B715B"/>
    <w:rsid w:val="008C4260"/>
    <w:rsid w:val="008C4C02"/>
    <w:rsid w:val="008C5F96"/>
    <w:rsid w:val="008C62CC"/>
    <w:rsid w:val="008C70A3"/>
    <w:rsid w:val="008C7F2C"/>
    <w:rsid w:val="008D45C4"/>
    <w:rsid w:val="008D46FD"/>
    <w:rsid w:val="008D4DD9"/>
    <w:rsid w:val="008D6385"/>
    <w:rsid w:val="008D7C4F"/>
    <w:rsid w:val="008E0400"/>
    <w:rsid w:val="008E3432"/>
    <w:rsid w:val="008E5054"/>
    <w:rsid w:val="008E65DD"/>
    <w:rsid w:val="008E65F0"/>
    <w:rsid w:val="008F0D1E"/>
    <w:rsid w:val="008F2EC6"/>
    <w:rsid w:val="008F4F06"/>
    <w:rsid w:val="008F604E"/>
    <w:rsid w:val="008F7322"/>
    <w:rsid w:val="00900D2F"/>
    <w:rsid w:val="00901954"/>
    <w:rsid w:val="0090252F"/>
    <w:rsid w:val="00907E7C"/>
    <w:rsid w:val="00910271"/>
    <w:rsid w:val="00913B16"/>
    <w:rsid w:val="0091566A"/>
    <w:rsid w:val="009170BD"/>
    <w:rsid w:val="00920305"/>
    <w:rsid w:val="00922413"/>
    <w:rsid w:val="009224A8"/>
    <w:rsid w:val="0093228E"/>
    <w:rsid w:val="009334D1"/>
    <w:rsid w:val="0093401F"/>
    <w:rsid w:val="00935C6B"/>
    <w:rsid w:val="00940519"/>
    <w:rsid w:val="0094347B"/>
    <w:rsid w:val="009445DA"/>
    <w:rsid w:val="00944DD8"/>
    <w:rsid w:val="00945994"/>
    <w:rsid w:val="00950E90"/>
    <w:rsid w:val="009542AF"/>
    <w:rsid w:val="009610F3"/>
    <w:rsid w:val="00962B09"/>
    <w:rsid w:val="00964279"/>
    <w:rsid w:val="00967E8D"/>
    <w:rsid w:val="00972895"/>
    <w:rsid w:val="00975D31"/>
    <w:rsid w:val="00980DD9"/>
    <w:rsid w:val="00981AD9"/>
    <w:rsid w:val="00981B06"/>
    <w:rsid w:val="00982ACD"/>
    <w:rsid w:val="009848C0"/>
    <w:rsid w:val="009864BE"/>
    <w:rsid w:val="00986536"/>
    <w:rsid w:val="009879DD"/>
    <w:rsid w:val="009906DE"/>
    <w:rsid w:val="00991B51"/>
    <w:rsid w:val="00991CA3"/>
    <w:rsid w:val="009929EB"/>
    <w:rsid w:val="0099588C"/>
    <w:rsid w:val="009964F2"/>
    <w:rsid w:val="009A0AF5"/>
    <w:rsid w:val="009A2F58"/>
    <w:rsid w:val="009B0623"/>
    <w:rsid w:val="009B2A5A"/>
    <w:rsid w:val="009B3E3E"/>
    <w:rsid w:val="009B4A0E"/>
    <w:rsid w:val="009C2E80"/>
    <w:rsid w:val="009C5E0A"/>
    <w:rsid w:val="009C604F"/>
    <w:rsid w:val="009C6DF2"/>
    <w:rsid w:val="009C75A4"/>
    <w:rsid w:val="009D14C5"/>
    <w:rsid w:val="009D1DA4"/>
    <w:rsid w:val="009D6502"/>
    <w:rsid w:val="009E02CB"/>
    <w:rsid w:val="009E19FA"/>
    <w:rsid w:val="009E2CCD"/>
    <w:rsid w:val="009E2F1A"/>
    <w:rsid w:val="009E3A57"/>
    <w:rsid w:val="009E663D"/>
    <w:rsid w:val="009E721B"/>
    <w:rsid w:val="009F0AF9"/>
    <w:rsid w:val="009F18D9"/>
    <w:rsid w:val="009F31A1"/>
    <w:rsid w:val="009F5D45"/>
    <w:rsid w:val="009F6EC7"/>
    <w:rsid w:val="009F79CC"/>
    <w:rsid w:val="00A00B60"/>
    <w:rsid w:val="00A0574B"/>
    <w:rsid w:val="00A05D48"/>
    <w:rsid w:val="00A07329"/>
    <w:rsid w:val="00A07BEB"/>
    <w:rsid w:val="00A14EF6"/>
    <w:rsid w:val="00A209B6"/>
    <w:rsid w:val="00A20DA1"/>
    <w:rsid w:val="00A267C7"/>
    <w:rsid w:val="00A2701F"/>
    <w:rsid w:val="00A30265"/>
    <w:rsid w:val="00A304E7"/>
    <w:rsid w:val="00A30B96"/>
    <w:rsid w:val="00A3375E"/>
    <w:rsid w:val="00A338A0"/>
    <w:rsid w:val="00A3396B"/>
    <w:rsid w:val="00A34586"/>
    <w:rsid w:val="00A356BE"/>
    <w:rsid w:val="00A4092B"/>
    <w:rsid w:val="00A4145B"/>
    <w:rsid w:val="00A50FAA"/>
    <w:rsid w:val="00A5220F"/>
    <w:rsid w:val="00A5265C"/>
    <w:rsid w:val="00A542A4"/>
    <w:rsid w:val="00A54347"/>
    <w:rsid w:val="00A54AF7"/>
    <w:rsid w:val="00A55829"/>
    <w:rsid w:val="00A57A3A"/>
    <w:rsid w:val="00A57DE7"/>
    <w:rsid w:val="00A627B1"/>
    <w:rsid w:val="00A6298C"/>
    <w:rsid w:val="00A64702"/>
    <w:rsid w:val="00A64AEB"/>
    <w:rsid w:val="00A728F9"/>
    <w:rsid w:val="00A72E01"/>
    <w:rsid w:val="00A73B8A"/>
    <w:rsid w:val="00A76F9D"/>
    <w:rsid w:val="00A7764D"/>
    <w:rsid w:val="00A806A9"/>
    <w:rsid w:val="00A83ED8"/>
    <w:rsid w:val="00A84A65"/>
    <w:rsid w:val="00A85D9B"/>
    <w:rsid w:val="00A9075B"/>
    <w:rsid w:val="00A90783"/>
    <w:rsid w:val="00A91CA2"/>
    <w:rsid w:val="00A92B46"/>
    <w:rsid w:val="00A92CFE"/>
    <w:rsid w:val="00A93396"/>
    <w:rsid w:val="00A93A9B"/>
    <w:rsid w:val="00A93FDA"/>
    <w:rsid w:val="00A94B60"/>
    <w:rsid w:val="00A95868"/>
    <w:rsid w:val="00A96BF2"/>
    <w:rsid w:val="00AA1BE8"/>
    <w:rsid w:val="00AA246D"/>
    <w:rsid w:val="00AA32FB"/>
    <w:rsid w:val="00AA3602"/>
    <w:rsid w:val="00AA4813"/>
    <w:rsid w:val="00AA5EE1"/>
    <w:rsid w:val="00AB1EBF"/>
    <w:rsid w:val="00AB2305"/>
    <w:rsid w:val="00AB2677"/>
    <w:rsid w:val="00AB2D0B"/>
    <w:rsid w:val="00AB2FF8"/>
    <w:rsid w:val="00AB3CAE"/>
    <w:rsid w:val="00AB4E51"/>
    <w:rsid w:val="00AB5EFC"/>
    <w:rsid w:val="00AB7E43"/>
    <w:rsid w:val="00AC0110"/>
    <w:rsid w:val="00AC0524"/>
    <w:rsid w:val="00AC0C38"/>
    <w:rsid w:val="00AC1844"/>
    <w:rsid w:val="00AC281D"/>
    <w:rsid w:val="00AC31AC"/>
    <w:rsid w:val="00AC3635"/>
    <w:rsid w:val="00AC3F2B"/>
    <w:rsid w:val="00AC5305"/>
    <w:rsid w:val="00AD002C"/>
    <w:rsid w:val="00AD2E7D"/>
    <w:rsid w:val="00AD3A11"/>
    <w:rsid w:val="00AE0A39"/>
    <w:rsid w:val="00AE2861"/>
    <w:rsid w:val="00AE3774"/>
    <w:rsid w:val="00AE553B"/>
    <w:rsid w:val="00AF257F"/>
    <w:rsid w:val="00AF3F6E"/>
    <w:rsid w:val="00AF54BE"/>
    <w:rsid w:val="00B00E1C"/>
    <w:rsid w:val="00B060D1"/>
    <w:rsid w:val="00B06843"/>
    <w:rsid w:val="00B06DA3"/>
    <w:rsid w:val="00B0784B"/>
    <w:rsid w:val="00B07E1E"/>
    <w:rsid w:val="00B13EF4"/>
    <w:rsid w:val="00B161C0"/>
    <w:rsid w:val="00B165E8"/>
    <w:rsid w:val="00B244A3"/>
    <w:rsid w:val="00B2582B"/>
    <w:rsid w:val="00B25C25"/>
    <w:rsid w:val="00B25E2A"/>
    <w:rsid w:val="00B2653A"/>
    <w:rsid w:val="00B31413"/>
    <w:rsid w:val="00B32B4C"/>
    <w:rsid w:val="00B406FD"/>
    <w:rsid w:val="00B40AB4"/>
    <w:rsid w:val="00B42E70"/>
    <w:rsid w:val="00B42FB4"/>
    <w:rsid w:val="00B44B6D"/>
    <w:rsid w:val="00B51FCE"/>
    <w:rsid w:val="00B52E32"/>
    <w:rsid w:val="00B541BA"/>
    <w:rsid w:val="00B54502"/>
    <w:rsid w:val="00B57550"/>
    <w:rsid w:val="00B60424"/>
    <w:rsid w:val="00B63ED7"/>
    <w:rsid w:val="00B70244"/>
    <w:rsid w:val="00B715AF"/>
    <w:rsid w:val="00B71688"/>
    <w:rsid w:val="00B7524D"/>
    <w:rsid w:val="00B75EB3"/>
    <w:rsid w:val="00B760A2"/>
    <w:rsid w:val="00B8142E"/>
    <w:rsid w:val="00B81A8E"/>
    <w:rsid w:val="00B8382A"/>
    <w:rsid w:val="00B86B30"/>
    <w:rsid w:val="00B909FA"/>
    <w:rsid w:val="00B924F0"/>
    <w:rsid w:val="00B93F7E"/>
    <w:rsid w:val="00B9481B"/>
    <w:rsid w:val="00B94905"/>
    <w:rsid w:val="00B95275"/>
    <w:rsid w:val="00BA1753"/>
    <w:rsid w:val="00BA1EF3"/>
    <w:rsid w:val="00BA33B6"/>
    <w:rsid w:val="00BA69A3"/>
    <w:rsid w:val="00BA7789"/>
    <w:rsid w:val="00BB04DD"/>
    <w:rsid w:val="00BB247A"/>
    <w:rsid w:val="00BB5022"/>
    <w:rsid w:val="00BB6F12"/>
    <w:rsid w:val="00BC0D95"/>
    <w:rsid w:val="00BC1322"/>
    <w:rsid w:val="00BC2BBC"/>
    <w:rsid w:val="00BC3586"/>
    <w:rsid w:val="00BC41D5"/>
    <w:rsid w:val="00BC6EC9"/>
    <w:rsid w:val="00BC76B2"/>
    <w:rsid w:val="00BD1DC5"/>
    <w:rsid w:val="00BD35AD"/>
    <w:rsid w:val="00BD5B81"/>
    <w:rsid w:val="00BD7831"/>
    <w:rsid w:val="00BE1CB2"/>
    <w:rsid w:val="00BE45F7"/>
    <w:rsid w:val="00BE491D"/>
    <w:rsid w:val="00BE4E24"/>
    <w:rsid w:val="00BF05CB"/>
    <w:rsid w:val="00BF0843"/>
    <w:rsid w:val="00BF0EE5"/>
    <w:rsid w:val="00BF0FE8"/>
    <w:rsid w:val="00BF32A5"/>
    <w:rsid w:val="00BF7964"/>
    <w:rsid w:val="00C00849"/>
    <w:rsid w:val="00C05CEC"/>
    <w:rsid w:val="00C07D59"/>
    <w:rsid w:val="00C1041A"/>
    <w:rsid w:val="00C12298"/>
    <w:rsid w:val="00C12659"/>
    <w:rsid w:val="00C12692"/>
    <w:rsid w:val="00C14E7E"/>
    <w:rsid w:val="00C16D26"/>
    <w:rsid w:val="00C20730"/>
    <w:rsid w:val="00C31004"/>
    <w:rsid w:val="00C429CC"/>
    <w:rsid w:val="00C43C5B"/>
    <w:rsid w:val="00C44558"/>
    <w:rsid w:val="00C46CC1"/>
    <w:rsid w:val="00C47CF2"/>
    <w:rsid w:val="00C505A3"/>
    <w:rsid w:val="00C50DEE"/>
    <w:rsid w:val="00C516D1"/>
    <w:rsid w:val="00C52A23"/>
    <w:rsid w:val="00C53F47"/>
    <w:rsid w:val="00C60B2B"/>
    <w:rsid w:val="00C62D6C"/>
    <w:rsid w:val="00C62FB9"/>
    <w:rsid w:val="00C638BE"/>
    <w:rsid w:val="00C63B6B"/>
    <w:rsid w:val="00C657FA"/>
    <w:rsid w:val="00C6605A"/>
    <w:rsid w:val="00C70520"/>
    <w:rsid w:val="00C70A90"/>
    <w:rsid w:val="00C72CEB"/>
    <w:rsid w:val="00C744ED"/>
    <w:rsid w:val="00C74667"/>
    <w:rsid w:val="00C75C63"/>
    <w:rsid w:val="00C7654B"/>
    <w:rsid w:val="00C80635"/>
    <w:rsid w:val="00C81FD2"/>
    <w:rsid w:val="00C82DF8"/>
    <w:rsid w:val="00C836A6"/>
    <w:rsid w:val="00C85DB5"/>
    <w:rsid w:val="00C860CE"/>
    <w:rsid w:val="00C86CA9"/>
    <w:rsid w:val="00C86CF8"/>
    <w:rsid w:val="00C9037E"/>
    <w:rsid w:val="00C91FD5"/>
    <w:rsid w:val="00C92F7B"/>
    <w:rsid w:val="00C94808"/>
    <w:rsid w:val="00CA08D5"/>
    <w:rsid w:val="00CA09AC"/>
    <w:rsid w:val="00CA0F3A"/>
    <w:rsid w:val="00CA4772"/>
    <w:rsid w:val="00CB2278"/>
    <w:rsid w:val="00CB22A1"/>
    <w:rsid w:val="00CB565D"/>
    <w:rsid w:val="00CB5860"/>
    <w:rsid w:val="00CC4451"/>
    <w:rsid w:val="00CC4D25"/>
    <w:rsid w:val="00CC5208"/>
    <w:rsid w:val="00CC63C2"/>
    <w:rsid w:val="00CC6C42"/>
    <w:rsid w:val="00CC7F80"/>
    <w:rsid w:val="00CD1575"/>
    <w:rsid w:val="00CD1683"/>
    <w:rsid w:val="00CD1E96"/>
    <w:rsid w:val="00CD5F6F"/>
    <w:rsid w:val="00CD65DD"/>
    <w:rsid w:val="00CD6E1C"/>
    <w:rsid w:val="00CD79CA"/>
    <w:rsid w:val="00CE55FE"/>
    <w:rsid w:val="00CE5D7E"/>
    <w:rsid w:val="00CF0712"/>
    <w:rsid w:val="00CF0DAE"/>
    <w:rsid w:val="00CF1760"/>
    <w:rsid w:val="00CF1E33"/>
    <w:rsid w:val="00CF2C65"/>
    <w:rsid w:val="00CF2CED"/>
    <w:rsid w:val="00CF474C"/>
    <w:rsid w:val="00CF6AD0"/>
    <w:rsid w:val="00CF6EA7"/>
    <w:rsid w:val="00CF7402"/>
    <w:rsid w:val="00D00C25"/>
    <w:rsid w:val="00D011A8"/>
    <w:rsid w:val="00D02242"/>
    <w:rsid w:val="00D03412"/>
    <w:rsid w:val="00D03F98"/>
    <w:rsid w:val="00D05584"/>
    <w:rsid w:val="00D11F3D"/>
    <w:rsid w:val="00D123E1"/>
    <w:rsid w:val="00D130E6"/>
    <w:rsid w:val="00D22EF6"/>
    <w:rsid w:val="00D237A5"/>
    <w:rsid w:val="00D267BD"/>
    <w:rsid w:val="00D27454"/>
    <w:rsid w:val="00D300BB"/>
    <w:rsid w:val="00D3339B"/>
    <w:rsid w:val="00D343C8"/>
    <w:rsid w:val="00D3499F"/>
    <w:rsid w:val="00D374FA"/>
    <w:rsid w:val="00D40F5B"/>
    <w:rsid w:val="00D41EAE"/>
    <w:rsid w:val="00D4288F"/>
    <w:rsid w:val="00D44E23"/>
    <w:rsid w:val="00D47CAE"/>
    <w:rsid w:val="00D506E7"/>
    <w:rsid w:val="00D522CA"/>
    <w:rsid w:val="00D5259F"/>
    <w:rsid w:val="00D528CF"/>
    <w:rsid w:val="00D53454"/>
    <w:rsid w:val="00D54D0B"/>
    <w:rsid w:val="00D611D9"/>
    <w:rsid w:val="00D70093"/>
    <w:rsid w:val="00D74320"/>
    <w:rsid w:val="00D74439"/>
    <w:rsid w:val="00D74D96"/>
    <w:rsid w:val="00D74F49"/>
    <w:rsid w:val="00D80BE8"/>
    <w:rsid w:val="00D821B7"/>
    <w:rsid w:val="00D8249C"/>
    <w:rsid w:val="00D844F4"/>
    <w:rsid w:val="00D85BAE"/>
    <w:rsid w:val="00D865AD"/>
    <w:rsid w:val="00D93092"/>
    <w:rsid w:val="00D93243"/>
    <w:rsid w:val="00D93E38"/>
    <w:rsid w:val="00D95DAA"/>
    <w:rsid w:val="00D97E5D"/>
    <w:rsid w:val="00DA0E8C"/>
    <w:rsid w:val="00DA1592"/>
    <w:rsid w:val="00DA36B1"/>
    <w:rsid w:val="00DB0696"/>
    <w:rsid w:val="00DB1006"/>
    <w:rsid w:val="00DB12ED"/>
    <w:rsid w:val="00DB4451"/>
    <w:rsid w:val="00DB4703"/>
    <w:rsid w:val="00DB49A4"/>
    <w:rsid w:val="00DB4AAF"/>
    <w:rsid w:val="00DC0D26"/>
    <w:rsid w:val="00DC35CC"/>
    <w:rsid w:val="00DC369D"/>
    <w:rsid w:val="00DC3A39"/>
    <w:rsid w:val="00DC3FA4"/>
    <w:rsid w:val="00DC581E"/>
    <w:rsid w:val="00DC7B7C"/>
    <w:rsid w:val="00DD2F4A"/>
    <w:rsid w:val="00DD3EFF"/>
    <w:rsid w:val="00DD4ED5"/>
    <w:rsid w:val="00DD52A8"/>
    <w:rsid w:val="00DD60EB"/>
    <w:rsid w:val="00DE0544"/>
    <w:rsid w:val="00DE0D4B"/>
    <w:rsid w:val="00DE107C"/>
    <w:rsid w:val="00DE1F18"/>
    <w:rsid w:val="00DE21FC"/>
    <w:rsid w:val="00DE2FFC"/>
    <w:rsid w:val="00DE359E"/>
    <w:rsid w:val="00DE6DDB"/>
    <w:rsid w:val="00DF6696"/>
    <w:rsid w:val="00DF6DBE"/>
    <w:rsid w:val="00E01980"/>
    <w:rsid w:val="00E04659"/>
    <w:rsid w:val="00E053CA"/>
    <w:rsid w:val="00E05974"/>
    <w:rsid w:val="00E05EA2"/>
    <w:rsid w:val="00E069E3"/>
    <w:rsid w:val="00E146FE"/>
    <w:rsid w:val="00E15490"/>
    <w:rsid w:val="00E164CC"/>
    <w:rsid w:val="00E205A3"/>
    <w:rsid w:val="00E20CAD"/>
    <w:rsid w:val="00E20DF1"/>
    <w:rsid w:val="00E23C4A"/>
    <w:rsid w:val="00E23D0D"/>
    <w:rsid w:val="00E243A3"/>
    <w:rsid w:val="00E247CB"/>
    <w:rsid w:val="00E262F5"/>
    <w:rsid w:val="00E26B04"/>
    <w:rsid w:val="00E27EC1"/>
    <w:rsid w:val="00E30102"/>
    <w:rsid w:val="00E31C04"/>
    <w:rsid w:val="00E32A09"/>
    <w:rsid w:val="00E32E07"/>
    <w:rsid w:val="00E32F86"/>
    <w:rsid w:val="00E3393B"/>
    <w:rsid w:val="00E41800"/>
    <w:rsid w:val="00E4214D"/>
    <w:rsid w:val="00E433D8"/>
    <w:rsid w:val="00E435E6"/>
    <w:rsid w:val="00E43891"/>
    <w:rsid w:val="00E43942"/>
    <w:rsid w:val="00E4564B"/>
    <w:rsid w:val="00E47CB2"/>
    <w:rsid w:val="00E52D40"/>
    <w:rsid w:val="00E53058"/>
    <w:rsid w:val="00E60DA4"/>
    <w:rsid w:val="00E61113"/>
    <w:rsid w:val="00E61DA0"/>
    <w:rsid w:val="00E625EB"/>
    <w:rsid w:val="00E647A5"/>
    <w:rsid w:val="00E66E35"/>
    <w:rsid w:val="00E6716D"/>
    <w:rsid w:val="00E708BF"/>
    <w:rsid w:val="00E72DDE"/>
    <w:rsid w:val="00E75790"/>
    <w:rsid w:val="00E816DA"/>
    <w:rsid w:val="00E81C2F"/>
    <w:rsid w:val="00E85064"/>
    <w:rsid w:val="00E8527E"/>
    <w:rsid w:val="00E8544D"/>
    <w:rsid w:val="00E85FE1"/>
    <w:rsid w:val="00E867E9"/>
    <w:rsid w:val="00E95D68"/>
    <w:rsid w:val="00E961A6"/>
    <w:rsid w:val="00E96A76"/>
    <w:rsid w:val="00EA10BC"/>
    <w:rsid w:val="00EA27BA"/>
    <w:rsid w:val="00EA4419"/>
    <w:rsid w:val="00EA5A76"/>
    <w:rsid w:val="00EB0FD7"/>
    <w:rsid w:val="00EB4B96"/>
    <w:rsid w:val="00EB54FB"/>
    <w:rsid w:val="00EB592B"/>
    <w:rsid w:val="00EB5E01"/>
    <w:rsid w:val="00EB6B93"/>
    <w:rsid w:val="00EC37AB"/>
    <w:rsid w:val="00EC6CE3"/>
    <w:rsid w:val="00ED1E01"/>
    <w:rsid w:val="00ED4C6E"/>
    <w:rsid w:val="00EE06BA"/>
    <w:rsid w:val="00EE0FB6"/>
    <w:rsid w:val="00EE2125"/>
    <w:rsid w:val="00EE2CB8"/>
    <w:rsid w:val="00EE50DB"/>
    <w:rsid w:val="00EE5738"/>
    <w:rsid w:val="00EE7CE9"/>
    <w:rsid w:val="00EF0A60"/>
    <w:rsid w:val="00EF0CFE"/>
    <w:rsid w:val="00EF112D"/>
    <w:rsid w:val="00EF37C2"/>
    <w:rsid w:val="00EF58CA"/>
    <w:rsid w:val="00EF7016"/>
    <w:rsid w:val="00EF73B9"/>
    <w:rsid w:val="00F04F9D"/>
    <w:rsid w:val="00F05EB3"/>
    <w:rsid w:val="00F123CD"/>
    <w:rsid w:val="00F1316C"/>
    <w:rsid w:val="00F15C55"/>
    <w:rsid w:val="00F204B2"/>
    <w:rsid w:val="00F211BF"/>
    <w:rsid w:val="00F24165"/>
    <w:rsid w:val="00F30FB5"/>
    <w:rsid w:val="00F31078"/>
    <w:rsid w:val="00F35FE8"/>
    <w:rsid w:val="00F374E9"/>
    <w:rsid w:val="00F3790A"/>
    <w:rsid w:val="00F37E33"/>
    <w:rsid w:val="00F41CA2"/>
    <w:rsid w:val="00F42B03"/>
    <w:rsid w:val="00F42D1B"/>
    <w:rsid w:val="00F4533E"/>
    <w:rsid w:val="00F47BF7"/>
    <w:rsid w:val="00F56863"/>
    <w:rsid w:val="00F56B94"/>
    <w:rsid w:val="00F63916"/>
    <w:rsid w:val="00F65E91"/>
    <w:rsid w:val="00F66F50"/>
    <w:rsid w:val="00F67223"/>
    <w:rsid w:val="00F67AA6"/>
    <w:rsid w:val="00F722E7"/>
    <w:rsid w:val="00F74866"/>
    <w:rsid w:val="00F7640B"/>
    <w:rsid w:val="00F76CF7"/>
    <w:rsid w:val="00F772A5"/>
    <w:rsid w:val="00F81ABE"/>
    <w:rsid w:val="00F8289F"/>
    <w:rsid w:val="00F8467F"/>
    <w:rsid w:val="00F91848"/>
    <w:rsid w:val="00F92260"/>
    <w:rsid w:val="00F96BCA"/>
    <w:rsid w:val="00F971D6"/>
    <w:rsid w:val="00F97839"/>
    <w:rsid w:val="00FA01BE"/>
    <w:rsid w:val="00FA2EA4"/>
    <w:rsid w:val="00FA6F96"/>
    <w:rsid w:val="00FA7155"/>
    <w:rsid w:val="00FB0366"/>
    <w:rsid w:val="00FB47A2"/>
    <w:rsid w:val="00FB614F"/>
    <w:rsid w:val="00FB6B69"/>
    <w:rsid w:val="00FB6C11"/>
    <w:rsid w:val="00FB7208"/>
    <w:rsid w:val="00FB7CAB"/>
    <w:rsid w:val="00FC1139"/>
    <w:rsid w:val="00FC2A6E"/>
    <w:rsid w:val="00FC5D18"/>
    <w:rsid w:val="00FD0D60"/>
    <w:rsid w:val="00FD447B"/>
    <w:rsid w:val="00FD5FB8"/>
    <w:rsid w:val="00FD6505"/>
    <w:rsid w:val="00FD661F"/>
    <w:rsid w:val="00FD696B"/>
    <w:rsid w:val="00FE0A2F"/>
    <w:rsid w:val="00FE38A4"/>
    <w:rsid w:val="00FE3A0E"/>
    <w:rsid w:val="00FE3B8E"/>
    <w:rsid w:val="00FE6D71"/>
    <w:rsid w:val="00FE76A3"/>
    <w:rsid w:val="00FE775C"/>
    <w:rsid w:val="00FF0323"/>
    <w:rsid w:val="00FF1584"/>
    <w:rsid w:val="00FF219F"/>
    <w:rsid w:val="00FF5655"/>
    <w:rsid w:val="00FF5F78"/>
    <w:rsid w:val="0DA3057F"/>
    <w:rsid w:val="1379375E"/>
    <w:rsid w:val="1F7B3932"/>
    <w:rsid w:val="27BF5CC4"/>
    <w:rsid w:val="2ECF3EB6"/>
    <w:rsid w:val="3BF012CE"/>
    <w:rsid w:val="5AB0036D"/>
    <w:rsid w:val="6D0B1D5A"/>
    <w:rsid w:val="722A3217"/>
  </w:rsids>
  <m:mathPr>
    <m:mathFont m:val="Cambria Math"/>
    <m:brkBin m:val="before"/>
    <m:brkBinSub m:val="--"/>
    <m:smallFrac m:val="1"/>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qFormat="1" w:unhideWhenUsed="0" w:uiPriority="34" w:semiHidden="0" w:name="List Paragraph"/>
    <w:lsdException w:qFormat="1" w:unhideWhenUsed="0" w:uiPriority="0" w:semiHidden="0" w:name="Quote"/>
  </w:latentStyles>
  <w:style w:type="paragraph" w:default="1" w:styleId="1">
    <w:name w:val="Normal"/>
    <w:qFormat/>
    <w:uiPriority w:val="0"/>
    <w:pPr>
      <w:widowControl w:val="0"/>
      <w:autoSpaceDE w:val="0"/>
      <w:autoSpaceDN w:val="0"/>
    </w:pPr>
    <w:rPr>
      <w:rFonts w:ascii="Tahoma" w:hAnsi="Tahoma" w:eastAsia="Tahoma" w:cs="Tahoma"/>
      <w:sz w:val="22"/>
      <w:szCs w:val="22"/>
      <w:lang w:val="pt-PT" w:eastAsia="pt-PT" w:bidi="pt-PT"/>
    </w:rPr>
  </w:style>
  <w:style w:type="paragraph" w:styleId="2">
    <w:name w:val="heading 1"/>
    <w:basedOn w:val="1"/>
    <w:qFormat/>
    <w:uiPriority w:val="9"/>
    <w:pPr>
      <w:spacing w:before="100"/>
      <w:ind w:left="3104"/>
      <w:outlineLvl w:val="0"/>
    </w:pPr>
    <w:rPr>
      <w:rFonts w:ascii="Gill Sans MT" w:hAnsi="Gill Sans MT" w:eastAsia="Gill Sans MT" w:cs="Gill Sans MT"/>
      <w:b/>
      <w:bCs/>
    </w:rPr>
  </w:style>
  <w:style w:type="paragraph" w:styleId="3">
    <w:name w:val="heading 3"/>
    <w:basedOn w:val="1"/>
    <w:next w:val="1"/>
    <w:link w:val="25"/>
    <w:qFormat/>
    <w:uiPriority w:val="0"/>
    <w:pPr>
      <w:keepNext/>
      <w:widowControl/>
      <w:autoSpaceDE/>
      <w:autoSpaceDN/>
      <w:outlineLvl w:val="2"/>
    </w:pPr>
    <w:rPr>
      <w:rFonts w:ascii="Times New Roman" w:hAnsi="Times New Roman" w:eastAsia="Times New Roman" w:cs="Times New Roman"/>
      <w:i/>
      <w:sz w:val="24"/>
      <w:szCs w:val="24"/>
      <w:lang w:val="pt-BR" w:eastAsia="pt-BR" w:bidi="ar-SA"/>
    </w:rPr>
  </w:style>
  <w:style w:type="paragraph" w:styleId="4">
    <w:name w:val="heading 8"/>
    <w:basedOn w:val="1"/>
    <w:next w:val="1"/>
    <w:link w:val="26"/>
    <w:unhideWhenUsed/>
    <w:qFormat/>
    <w:uiPriority w:val="9"/>
    <w:pPr>
      <w:keepNext/>
      <w:keepLines/>
      <w:spacing w:before="40"/>
      <w:outlineLvl w:val="7"/>
    </w:pPr>
    <w:rPr>
      <w:rFonts w:ascii="Cambria" w:hAnsi="Cambria" w:eastAsia="Times New Roman" w:cs="Times New Roman"/>
      <w:color w:val="272727"/>
      <w:sz w:val="21"/>
      <w:szCs w:val="21"/>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semiHidden/>
    <w:unhideWhenUsed/>
    <w:qFormat/>
    <w:uiPriority w:val="99"/>
    <w:rPr>
      <w:color w:val="954F72"/>
      <w:u w:val="single"/>
    </w:rPr>
  </w:style>
  <w:style w:type="character" w:styleId="9">
    <w:name w:val="Hyperlink"/>
    <w:unhideWhenUsed/>
    <w:qFormat/>
    <w:uiPriority w:val="99"/>
    <w:rPr>
      <w:color w:val="0000FF"/>
      <w:u w:val="single"/>
    </w:rPr>
  </w:style>
  <w:style w:type="paragraph" w:styleId="10">
    <w:name w:val="Body Text"/>
    <w:basedOn w:val="1"/>
    <w:qFormat/>
    <w:uiPriority w:val="1"/>
    <w:pPr>
      <w:ind w:left="112"/>
      <w:jc w:val="both"/>
    </w:pPr>
  </w:style>
  <w:style w:type="paragraph" w:styleId="11">
    <w:name w:val="annotation text"/>
    <w:basedOn w:val="1"/>
    <w:link w:val="34"/>
    <w:unhideWhenUsed/>
    <w:qFormat/>
    <w:uiPriority w:val="99"/>
    <w:pPr>
      <w:widowControl/>
      <w:autoSpaceDE/>
      <w:autoSpaceDN/>
    </w:pPr>
    <w:rPr>
      <w:rFonts w:ascii="Ecofont_Spranq_eco_Sans" w:hAnsi="Ecofont_Spranq_eco_Sans" w:eastAsiaTheme="minorEastAsia"/>
      <w:sz w:val="20"/>
      <w:szCs w:val="20"/>
      <w:lang w:val="pt-BR" w:eastAsia="pt-BR" w:bidi="ar-SA"/>
    </w:rPr>
  </w:style>
  <w:style w:type="paragraph" w:styleId="12">
    <w:name w:val="header"/>
    <w:basedOn w:val="1"/>
    <w:link w:val="20"/>
    <w:unhideWhenUsed/>
    <w:qFormat/>
    <w:uiPriority w:val="0"/>
    <w:pPr>
      <w:tabs>
        <w:tab w:val="center" w:pos="4252"/>
        <w:tab w:val="right" w:pos="8504"/>
      </w:tabs>
    </w:pPr>
    <w:rPr>
      <w:sz w:val="20"/>
      <w:szCs w:val="20"/>
    </w:rPr>
  </w:style>
  <w:style w:type="paragraph" w:styleId="13">
    <w:name w:val="footer"/>
    <w:basedOn w:val="1"/>
    <w:link w:val="21"/>
    <w:unhideWhenUsed/>
    <w:qFormat/>
    <w:uiPriority w:val="99"/>
    <w:pPr>
      <w:tabs>
        <w:tab w:val="center" w:pos="4252"/>
        <w:tab w:val="right" w:pos="8504"/>
      </w:tabs>
    </w:pPr>
    <w:rPr>
      <w:sz w:val="20"/>
      <w:szCs w:val="20"/>
    </w:rPr>
  </w:style>
  <w:style w:type="paragraph" w:styleId="14">
    <w:name w:val="Balloon Text"/>
    <w:basedOn w:val="1"/>
    <w:link w:val="27"/>
    <w:semiHidden/>
    <w:unhideWhenUsed/>
    <w:qFormat/>
    <w:uiPriority w:val="99"/>
    <w:rPr>
      <w:sz w:val="16"/>
      <w:szCs w:val="16"/>
    </w:rPr>
  </w:style>
  <w:style w:type="paragraph" w:styleId="15">
    <w:name w:val="toc 1"/>
    <w:basedOn w:val="1"/>
    <w:qFormat/>
    <w:uiPriority w:val="39"/>
    <w:pPr>
      <w:spacing w:before="231"/>
      <w:ind w:left="572" w:hanging="461"/>
    </w:pPr>
    <w:rPr>
      <w:sz w:val="24"/>
      <w:szCs w:val="24"/>
    </w:rPr>
  </w:style>
  <w:style w:type="table" w:customStyle="1" w:styleId="16">
    <w:name w:val="Table Normal"/>
    <w:semiHidden/>
    <w:unhideWhenUsed/>
    <w:qFormat/>
    <w:uiPriority w:val="2"/>
    <w:pPr>
      <w:widowControl w:val="0"/>
      <w:autoSpaceDE w:val="0"/>
      <w:autoSpaceDN w:val="0"/>
    </w:pPr>
    <w:rPr>
      <w:sz w:val="22"/>
      <w:szCs w:val="22"/>
      <w:lang w:val="en-US" w:eastAsia="en-US"/>
    </w:rPr>
    <w:tblPr>
      <w:tblCellMar>
        <w:top w:w="0" w:type="dxa"/>
        <w:left w:w="0" w:type="dxa"/>
        <w:bottom w:w="0" w:type="dxa"/>
        <w:right w:w="0" w:type="dxa"/>
      </w:tblCellMar>
    </w:tblPr>
  </w:style>
  <w:style w:type="paragraph" w:styleId="17">
    <w:name w:val="List Paragraph"/>
    <w:basedOn w:val="1"/>
    <w:qFormat/>
    <w:uiPriority w:val="34"/>
    <w:pPr>
      <w:ind w:left="112"/>
      <w:jc w:val="both"/>
    </w:pPr>
  </w:style>
  <w:style w:type="paragraph" w:customStyle="1" w:styleId="18">
    <w:name w:val="Table Paragraph"/>
    <w:basedOn w:val="1"/>
    <w:qFormat/>
    <w:uiPriority w:val="1"/>
  </w:style>
  <w:style w:type="character" w:customStyle="1" w:styleId="19">
    <w:name w:val="Menção Pendente1"/>
    <w:semiHidden/>
    <w:unhideWhenUsed/>
    <w:qFormat/>
    <w:uiPriority w:val="99"/>
    <w:rPr>
      <w:color w:val="605E5C"/>
      <w:shd w:val="clear" w:color="auto" w:fill="E1DFDD"/>
    </w:rPr>
  </w:style>
  <w:style w:type="character" w:customStyle="1" w:styleId="20">
    <w:name w:val="Cabeçalho Char"/>
    <w:link w:val="12"/>
    <w:qFormat/>
    <w:uiPriority w:val="0"/>
    <w:rPr>
      <w:rFonts w:ascii="Tahoma" w:hAnsi="Tahoma" w:eastAsia="Tahoma" w:cs="Tahoma"/>
      <w:lang w:val="pt-PT" w:eastAsia="pt-PT" w:bidi="pt-PT"/>
    </w:rPr>
  </w:style>
  <w:style w:type="character" w:customStyle="1" w:styleId="21">
    <w:name w:val="Rodapé Char"/>
    <w:link w:val="13"/>
    <w:qFormat/>
    <w:uiPriority w:val="99"/>
    <w:rPr>
      <w:rFonts w:ascii="Tahoma" w:hAnsi="Tahoma" w:eastAsia="Tahoma" w:cs="Tahoma"/>
      <w:lang w:val="pt-PT" w:eastAsia="pt-PT" w:bidi="pt-PT"/>
    </w:rPr>
  </w:style>
  <w:style w:type="paragraph" w:styleId="22">
    <w:name w:val="No Spacing"/>
    <w:link w:val="23"/>
    <w:qFormat/>
    <w:uiPriority w:val="1"/>
    <w:rPr>
      <w:rFonts w:ascii="Calibri" w:hAnsi="Calibri" w:eastAsia="Times New Roman" w:cs="Times New Roman"/>
      <w:sz w:val="22"/>
      <w:szCs w:val="22"/>
      <w:lang w:val="pt-BR" w:eastAsia="pt-BR" w:bidi="ar-SA"/>
    </w:rPr>
  </w:style>
  <w:style w:type="character" w:customStyle="1" w:styleId="23">
    <w:name w:val="Sem Espaçamento Char"/>
    <w:link w:val="22"/>
    <w:qFormat/>
    <w:uiPriority w:val="1"/>
    <w:rPr>
      <w:rFonts w:eastAsia="Times New Roman"/>
      <w:sz w:val="22"/>
      <w:szCs w:val="22"/>
      <w:lang w:val="pt-BR" w:eastAsia="pt-BR" w:bidi="ar-SA"/>
    </w:rPr>
  </w:style>
  <w:style w:type="paragraph" w:customStyle="1" w:styleId="24">
    <w:name w:val="TOC Heading"/>
    <w:basedOn w:val="2"/>
    <w:next w:val="1"/>
    <w:unhideWhenUsed/>
    <w:qFormat/>
    <w:uiPriority w:val="39"/>
    <w:pPr>
      <w:keepNext/>
      <w:keepLines/>
      <w:widowControl/>
      <w:autoSpaceDE/>
      <w:autoSpaceDN/>
      <w:spacing w:before="240" w:line="259" w:lineRule="auto"/>
      <w:ind w:left="0"/>
      <w:outlineLvl w:val="9"/>
    </w:pPr>
    <w:rPr>
      <w:rFonts w:ascii="Cambria" w:hAnsi="Cambria" w:eastAsia="Times New Roman" w:cs="Times New Roman"/>
      <w:b w:val="0"/>
      <w:bCs w:val="0"/>
      <w:color w:val="365F91"/>
      <w:sz w:val="32"/>
      <w:szCs w:val="32"/>
      <w:lang w:val="pt-BR" w:eastAsia="pt-BR" w:bidi="ar-SA"/>
    </w:rPr>
  </w:style>
  <w:style w:type="character" w:customStyle="1" w:styleId="25">
    <w:name w:val="Título 3 Char"/>
    <w:link w:val="3"/>
    <w:qFormat/>
    <w:uiPriority w:val="0"/>
    <w:rPr>
      <w:rFonts w:ascii="Times New Roman" w:hAnsi="Times New Roman" w:eastAsia="Times New Roman" w:cs="Times New Roman"/>
      <w:i/>
      <w:sz w:val="24"/>
      <w:szCs w:val="24"/>
      <w:lang w:val="pt-BR" w:eastAsia="pt-BR"/>
    </w:rPr>
  </w:style>
  <w:style w:type="character" w:customStyle="1" w:styleId="26">
    <w:name w:val="Título 8 Char"/>
    <w:link w:val="4"/>
    <w:qFormat/>
    <w:uiPriority w:val="9"/>
    <w:rPr>
      <w:rFonts w:ascii="Cambria" w:hAnsi="Cambria" w:eastAsia="Times New Roman" w:cs="Times New Roman"/>
      <w:color w:val="272727"/>
      <w:sz w:val="21"/>
      <w:szCs w:val="21"/>
      <w:lang w:val="pt-PT" w:eastAsia="pt-PT" w:bidi="pt-PT"/>
    </w:rPr>
  </w:style>
  <w:style w:type="character" w:customStyle="1" w:styleId="27">
    <w:name w:val="Texto de balão Char"/>
    <w:link w:val="14"/>
    <w:semiHidden/>
    <w:qFormat/>
    <w:uiPriority w:val="99"/>
    <w:rPr>
      <w:rFonts w:ascii="Tahoma" w:hAnsi="Tahoma" w:eastAsia="Tahoma" w:cs="Tahoma"/>
      <w:sz w:val="16"/>
      <w:szCs w:val="16"/>
      <w:lang w:val="pt-PT" w:eastAsia="pt-PT" w:bidi="pt-PT"/>
    </w:rPr>
  </w:style>
  <w:style w:type="paragraph" w:customStyle="1" w:styleId="28">
    <w:name w:val="Título 11"/>
    <w:basedOn w:val="1"/>
    <w:qFormat/>
    <w:uiPriority w:val="1"/>
    <w:pPr>
      <w:spacing w:before="101"/>
      <w:ind w:left="2761"/>
      <w:outlineLvl w:val="1"/>
    </w:pPr>
    <w:rPr>
      <w:rFonts w:ascii="Gill Sans MT" w:hAnsi="Gill Sans MT" w:eastAsia="Gill Sans MT" w:cs="Gill Sans MT"/>
      <w:b/>
      <w:bCs/>
    </w:rPr>
  </w:style>
  <w:style w:type="character" w:customStyle="1" w:styleId="29">
    <w:name w:val="Unresolved Mention"/>
    <w:semiHidden/>
    <w:unhideWhenUsed/>
    <w:qFormat/>
    <w:uiPriority w:val="99"/>
    <w:rPr>
      <w:color w:val="605E5C"/>
      <w:shd w:val="clear" w:color="auto" w:fill="E1DFDD"/>
    </w:rPr>
  </w:style>
  <w:style w:type="paragraph" w:customStyle="1" w:styleId="30">
    <w:name w:val="Nivel 01"/>
    <w:basedOn w:val="2"/>
    <w:next w:val="1"/>
    <w:qFormat/>
    <w:uiPriority w:val="0"/>
    <w:pPr>
      <w:keepNext/>
      <w:keepLines/>
      <w:widowControl/>
      <w:numPr>
        <w:ilvl w:val="0"/>
        <w:numId w:val="1"/>
      </w:numPr>
      <w:tabs>
        <w:tab w:val="left" w:pos="567"/>
      </w:tabs>
      <w:autoSpaceDE/>
      <w:autoSpaceDN/>
      <w:spacing w:before="240"/>
      <w:ind w:left="615" w:hanging="615"/>
      <w:jc w:val="both"/>
    </w:pPr>
    <w:rPr>
      <w:rFonts w:ascii="Ecofont_Spranq_eco_Sans" w:hAnsi="Ecofont_Spranq_eco_Sans" w:eastAsia="MS Gothic" w:cs="Times New Roman"/>
      <w:color w:val="000000"/>
      <w:sz w:val="20"/>
      <w:szCs w:val="20"/>
      <w:lang w:val="pt-BR" w:eastAsia="pt-BR" w:bidi="ar-SA"/>
    </w:rPr>
  </w:style>
  <w:style w:type="paragraph" w:customStyle="1" w:styleId="31">
    <w:name w:val="Parágrafo da Lista1"/>
    <w:basedOn w:val="1"/>
    <w:qFormat/>
    <w:uiPriority w:val="0"/>
    <w:pPr>
      <w:widowControl/>
      <w:suppressAutoHyphens/>
      <w:autoSpaceDE/>
      <w:autoSpaceDN/>
      <w:ind w:left="720"/>
      <w:contextualSpacing/>
    </w:pPr>
    <w:rPr>
      <w:rFonts w:ascii="Ecofont_Spranq_eco_Sans" w:hAnsi="Ecofont_Spranq_eco_Sans" w:eastAsia="Times New Roman"/>
      <w:sz w:val="24"/>
      <w:szCs w:val="24"/>
      <w:lang w:val="pt-BR" w:eastAsia="pt-BR" w:bidi="ar-SA"/>
    </w:rPr>
  </w:style>
  <w:style w:type="table" w:customStyle="1" w:styleId="32">
    <w:name w:val="Table Normal1"/>
    <w:semiHidden/>
    <w:unhideWhenUsed/>
    <w:qFormat/>
    <w:uiPriority w:val="2"/>
    <w:pPr>
      <w:widowControl w:val="0"/>
      <w:autoSpaceDE w:val="0"/>
      <w:autoSpaceDN w:val="0"/>
    </w:pPr>
    <w:rPr>
      <w:sz w:val="22"/>
      <w:szCs w:val="22"/>
      <w:lang w:val="en-US" w:eastAsia="en-US"/>
    </w:rPr>
    <w:tblPr>
      <w:tblCellMar>
        <w:top w:w="0" w:type="dxa"/>
        <w:left w:w="0" w:type="dxa"/>
        <w:bottom w:w="0" w:type="dxa"/>
        <w:right w:w="0" w:type="dxa"/>
      </w:tblCellMar>
    </w:tblPr>
  </w:style>
  <w:style w:type="character" w:customStyle="1" w:styleId="33">
    <w:name w:val="tex3"/>
    <w:qFormat/>
    <w:uiPriority w:val="0"/>
  </w:style>
  <w:style w:type="character" w:customStyle="1" w:styleId="34">
    <w:name w:val="Texto de comentário Char"/>
    <w:basedOn w:val="5"/>
    <w:link w:val="11"/>
    <w:qFormat/>
    <w:uiPriority w:val="99"/>
    <w:rPr>
      <w:rFonts w:ascii="Ecofont_Spranq_eco_Sans" w:hAnsi="Ecofont_Spranq_eco_Sans" w:cs="Tahoma" w:eastAsiaTheme="minorEastAsia"/>
    </w:rPr>
  </w:style>
  <w:style w:type="paragraph" w:customStyle="1" w:styleId="35">
    <w:name w:val="Nivel 2"/>
    <w:basedOn w:val="1"/>
    <w:link w:val="42"/>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bidi="ar-SA"/>
    </w:rPr>
  </w:style>
  <w:style w:type="paragraph" w:customStyle="1" w:styleId="36">
    <w:name w:val="Nivel 3"/>
    <w:basedOn w:val="1"/>
    <w:link w:val="43"/>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bidi="ar-SA"/>
    </w:rPr>
  </w:style>
  <w:style w:type="paragraph" w:customStyle="1" w:styleId="37">
    <w:name w:val="Nivel 4"/>
    <w:basedOn w:val="36"/>
    <w:link w:val="41"/>
    <w:qFormat/>
    <w:uiPriority w:val="0"/>
    <w:pPr>
      <w:ind w:left="567"/>
    </w:pPr>
    <w:rPr>
      <w:color w:val="auto"/>
    </w:rPr>
  </w:style>
  <w:style w:type="paragraph" w:customStyle="1" w:styleId="38">
    <w:name w:val="Nivel 5"/>
    <w:basedOn w:val="37"/>
    <w:qFormat/>
    <w:uiPriority w:val="0"/>
    <w:pPr>
      <w:ind w:left="851"/>
    </w:pPr>
  </w:style>
  <w:style w:type="paragraph" w:styleId="39">
    <w:name w:val="Quote"/>
    <w:basedOn w:val="1"/>
    <w:next w:val="1"/>
    <w:link w:val="40"/>
    <w:qFormat/>
    <w:uiPriority w:val="0"/>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Arial" w:hAnsi="Arial" w:eastAsia="Calibri"/>
      <w:i/>
      <w:iCs/>
      <w:color w:val="000000"/>
      <w:sz w:val="20"/>
      <w:szCs w:val="24"/>
      <w:lang w:val="pt-BR" w:eastAsia="en-US" w:bidi="ar-SA"/>
    </w:rPr>
  </w:style>
  <w:style w:type="character" w:customStyle="1" w:styleId="40">
    <w:name w:val="Citação Char"/>
    <w:basedOn w:val="5"/>
    <w:link w:val="39"/>
    <w:qFormat/>
    <w:uiPriority w:val="0"/>
    <w:rPr>
      <w:rFonts w:ascii="Arial" w:hAnsi="Arial" w:cs="Tahoma"/>
      <w:i/>
      <w:iCs/>
      <w:color w:val="000000"/>
      <w:szCs w:val="24"/>
      <w:shd w:val="clear" w:color="auto" w:fill="FFFFCC"/>
      <w:lang w:eastAsia="en-US"/>
    </w:rPr>
  </w:style>
  <w:style w:type="character" w:customStyle="1" w:styleId="41">
    <w:name w:val="Nivel 4 Char"/>
    <w:basedOn w:val="5"/>
    <w:link w:val="37"/>
    <w:qFormat/>
    <w:uiPriority w:val="0"/>
    <w:rPr>
      <w:rFonts w:ascii="Arial" w:hAnsi="Arial" w:cs="Arial" w:eastAsiaTheme="minorEastAsia"/>
    </w:rPr>
  </w:style>
  <w:style w:type="character" w:customStyle="1" w:styleId="42">
    <w:name w:val="Nivel 2 Char"/>
    <w:basedOn w:val="5"/>
    <w:link w:val="35"/>
    <w:qFormat/>
    <w:locked/>
    <w:uiPriority w:val="0"/>
    <w:rPr>
      <w:rFonts w:ascii="Arial" w:hAnsi="Arial" w:cs="Arial" w:eastAsiaTheme="minorEastAsia"/>
      <w:color w:val="000000"/>
    </w:rPr>
  </w:style>
  <w:style w:type="character" w:customStyle="1" w:styleId="43">
    <w:name w:val="Nivel 3 Char"/>
    <w:basedOn w:val="5"/>
    <w:link w:val="36"/>
    <w:qFormat/>
    <w:uiPriority w:val="0"/>
    <w:rPr>
      <w:rFonts w:ascii="Arial" w:hAnsi="Arial" w:cs="Arial" w:eastAsiaTheme="minorEastAsia"/>
      <w:color w:val="000000"/>
    </w:rPr>
  </w:style>
  <w:style w:type="paragraph" w:customStyle="1" w:styleId="44">
    <w:name w:val="ou"/>
    <w:basedOn w:val="17"/>
    <w:link w:val="45"/>
    <w:qFormat/>
    <w:uiPriority w:val="0"/>
    <w:pPr>
      <w:widowControl/>
      <w:autoSpaceDE/>
      <w:autoSpaceDN/>
      <w:spacing w:before="60" w:after="60" w:line="259" w:lineRule="auto"/>
      <w:ind w:left="0"/>
      <w:jc w:val="center"/>
    </w:pPr>
    <w:rPr>
      <w:rFonts w:ascii="Arial" w:hAnsi="Arial" w:cs="Arial" w:eastAsiaTheme="minorHAnsi"/>
      <w:b/>
      <w:bCs/>
      <w:i/>
      <w:iCs/>
      <w:color w:val="FF0000"/>
      <w:sz w:val="20"/>
      <w:szCs w:val="24"/>
      <w:u w:val="single"/>
      <w:lang w:val="pt-BR" w:eastAsia="pt-BR" w:bidi="ar-SA"/>
    </w:rPr>
  </w:style>
  <w:style w:type="character" w:customStyle="1" w:styleId="45">
    <w:name w:val="ou Char"/>
    <w:basedOn w:val="5"/>
    <w:link w:val="44"/>
    <w:qFormat/>
    <w:uiPriority w:val="0"/>
    <w:rPr>
      <w:rFonts w:ascii="Arial" w:hAnsi="Arial" w:cs="Arial" w:eastAsiaTheme="minorHAnsi"/>
      <w:b/>
      <w:bCs/>
      <w:i/>
      <w:iCs/>
      <w:color w:val="FF0000"/>
      <w:szCs w:val="24"/>
      <w:u w:val="single"/>
    </w:rPr>
  </w:style>
  <w:style w:type="paragraph" w:customStyle="1" w:styleId="46">
    <w:name w:val="Nível 2 -Red"/>
    <w:basedOn w:val="35"/>
    <w:link w:val="47"/>
    <w:qFormat/>
    <w:uiPriority w:val="0"/>
    <w:pPr>
      <w:numPr>
        <w:ilvl w:val="1"/>
        <w:numId w:val="2"/>
      </w:numPr>
      <w:ind w:left="0" w:firstLine="0"/>
    </w:pPr>
    <w:rPr>
      <w:rFonts w:eastAsia="Arial"/>
      <w:i/>
      <w:iCs/>
      <w:color w:val="FF0000"/>
    </w:rPr>
  </w:style>
  <w:style w:type="character" w:customStyle="1" w:styleId="47">
    <w:name w:val="Nível 2 -Red Char"/>
    <w:basedOn w:val="42"/>
    <w:link w:val="46"/>
    <w:qFormat/>
    <w:uiPriority w:val="0"/>
    <w:rPr>
      <w:rFonts w:ascii="Arial" w:hAnsi="Arial" w:eastAsia="Arial" w:cs="Arial"/>
      <w:i/>
      <w:iCs/>
      <w:color w:val="FF0000"/>
    </w:rPr>
  </w:style>
  <w:style w:type="paragraph" w:customStyle="1" w:styleId="48">
    <w:name w:val="Nivel_01"/>
    <w:basedOn w:val="2"/>
    <w:qFormat/>
    <w:uiPriority w:val="0"/>
    <w:pPr>
      <w:keepNext/>
      <w:keepLines/>
      <w:widowControl/>
      <w:numPr>
        <w:ilvl w:val="0"/>
        <w:numId w:val="3"/>
      </w:numPr>
      <w:tabs>
        <w:tab w:val="left" w:pos="567"/>
      </w:tabs>
      <w:autoSpaceDE/>
      <w:autoSpaceDN/>
      <w:spacing w:before="240"/>
      <w:jc w:val="both"/>
    </w:pPr>
    <w:rPr>
      <w:rFonts w:ascii="Ecofont_Spranq_eco_Sans" w:hAnsi="Ecofont_Spranq_eco_Sans" w:cs="Times New Roman" w:eastAsiaTheme="majorEastAsia"/>
      <w:sz w:val="20"/>
      <w:szCs w:val="20"/>
      <w:lang w:val="pt-BR" w:eastAsia="pt-BR" w:bidi="ar-SA"/>
    </w:rPr>
  </w:style>
  <w:style w:type="character" w:styleId="49">
    <w:name w:val="Placeholder Text"/>
    <w:basedOn w:val="5"/>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BDCA83-194C-491C-A15E-BB2127585FFD}">
  <ds:schemaRefs/>
</ds:datastoreItem>
</file>

<file path=docProps/app.xml><?xml version="1.0" encoding="utf-8"?>
<Properties xmlns="http://schemas.openxmlformats.org/officeDocument/2006/extended-properties" xmlns:vt="http://schemas.openxmlformats.org/officeDocument/2006/docPropsVTypes">
  <Template>Normal</Template>
  <Pages>41</Pages>
  <Words>11851</Words>
  <Characters>65689</Characters>
  <Lines>588</Lines>
  <Paragraphs>166</Paragraphs>
  <TotalTime>0</TotalTime>
  <ScaleCrop>false</ScaleCrop>
  <LinksUpToDate>false</LinksUpToDate>
  <CharactersWithSpaces>77426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2023-04-10T15:42:00Z</dcterms:created>
  <dc:creator>Jonathan Pinheiro Chaves</dc:creator>
  <cp:lastModifiedBy>thalles.gomes</cp:lastModifiedBy>
  <cp:lastPrinted>2026-01-19T18:38:00Z</cp:lastPrinted>
  <dcterms:modified xsi:type="dcterms:W3CDTF">2026-02-25T18:42:52Z</dcterms:modified>
  <dc:title>PROCESSO:</dc:title>
  <cp:revision>221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2019</vt:lpwstr>
  </property>
  <property fmtid="{D5CDD505-2E9C-101B-9397-08002B2CF9AE}" pid="4" name="LastSaved">
    <vt:filetime>2020-05-12T00:00:00Z</vt:filetime>
  </property>
  <property fmtid="{D5CDD505-2E9C-101B-9397-08002B2CF9AE}" pid="5" name="KSOProductBuildVer">
    <vt:lpwstr>1046-12.2.0.23196</vt:lpwstr>
  </property>
  <property fmtid="{D5CDD505-2E9C-101B-9397-08002B2CF9AE}" pid="6" name="ICV">
    <vt:lpwstr>A71F3D41A75F44B0A959088C96D96949_12</vt:lpwstr>
  </property>
</Properties>
</file>